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keepNext w:val="true"/>
        <w:keepLines/>
        <w:spacing w:before="480" w:after="240"/>
        <w:jc w:val="center"/>
        <w:rPr/>
      </w:pPr>
      <w:r>
        <w:rPr/>
        <w:t>Recensement des formations destinées aux IATSS en accès libre sur M@gistère 1</w:t>
      </w:r>
    </w:p>
    <w:p>
      <w:pPr>
        <w:pStyle w:val="Heading1"/>
        <w:rPr/>
      </w:pPr>
      <w:bookmarkStart w:id="0" w:name="Xed5049ddf22dbc8bea2cb7b2885314dd4309605"/>
      <w:r>
        <w:rPr/>
        <w:t>Recensement des formations destinées aux IATSS en accès libre sur M@gistère 1</w:t>
      </w:r>
    </w:p>
    <w:p>
      <w:pPr>
        <w:pStyle w:val="Heading3"/>
        <w:rPr/>
      </w:pPr>
      <w:bookmarkStart w:id="1" w:name="mise-à-jour-30-avril-2025"/>
      <w:r>
        <w:rPr/>
        <w:t>mise à jour 30 avril 2025</w:t>
      </w:r>
    </w:p>
    <w:p>
      <w:pPr>
        <w:pStyle w:val="FirstParagraph"/>
        <w:rPr/>
      </w:pPr>
      <w:r>
        <w:fldChar w:fldCharType="begin"/>
      </w:r>
      <w:r>
        <w:rPr/>
        <w:instrText xml:space="preserve"> HYPERLINK "https://magistere.education.fr/local/magistere_offers/index.php?v=formation" \l "offer=1336"</w:instrText>
      </w:r>
      <w:r>
        <w:rPr/>
        <w:fldChar w:fldCharType="separate"/>
      </w:r>
      <w:r>
        <w:rPr/>
        <w:t>ANDJARO - remplacements 1D, 2023</w:t>
      </w:r>
      <w:r>
        <w:rPr/>
        <w:fldChar w:fldCharType="end"/>
      </w:r>
      <w:r>
        <w:rPr/>
        <w:t xml:space="preserve"> &gt;Le Parcours Tronc Commun, permet d’aborder en 10 modules indépendants les uns des autres les concepts et étapes clefs des remplacements 1D au sein d’ANDJARO.</w:t>
      </w:r>
    </w:p>
    <w:p>
      <w:pPr>
        <w:pStyle w:val="BodyText"/>
        <w:rPr/>
      </w:pPr>
      <w:r>
        <w:fldChar w:fldCharType="begin"/>
      </w:r>
      <w:r>
        <w:rPr/>
        <w:instrText xml:space="preserve"> HYPERLINK "https://magistere.education.fr/local/magistere_offers/index.php?v=formation" \l "offer=1300"</w:instrText>
      </w:r>
      <w:r>
        <w:rPr/>
        <w:fldChar w:fldCharType="separate"/>
      </w:r>
      <w:r>
        <w:rPr/>
        <w:t>Se préparer au concours interne Adjoint Administratif</w:t>
      </w:r>
      <w:r>
        <w:rPr/>
        <w:fldChar w:fldCharType="end"/>
      </w:r>
      <w:r>
        <w:rPr/>
        <w:t xml:space="preserve"> &gt;Ce parcours en auto-formation est destiné aux personnels qui souhaitent préparer en autonomie le concours interne adjoint administratif de la fonction publique. D’une durée de 5 heures, il propose des ressources et des activités pour vous entrainer en autonomie sur les épreuves.</w:t>
      </w:r>
    </w:p>
    <w:p>
      <w:pPr>
        <w:pStyle w:val="BodyText"/>
        <w:rPr/>
      </w:pPr>
      <w:r>
        <w:fldChar w:fldCharType="begin"/>
      </w:r>
      <w:r>
        <w:rPr/>
        <w:instrText xml:space="preserve"> HYPERLINK "https://magistere.education.fr/local/magistere_offers/index.php?v=formation" \l "offer=1042"</w:instrText>
      </w:r>
      <w:r>
        <w:rPr/>
        <w:fldChar w:fldCharType="separate"/>
      </w:r>
      <w:r>
        <w:rPr/>
        <w:t>Recruter et maintenir en emploi les personnes en situation de handicap sans discriminer</w:t>
      </w:r>
      <w:r>
        <w:rPr/>
        <w:fldChar w:fldCharType="end"/>
      </w:r>
      <w:r>
        <w:rPr/>
        <w:t xml:space="preserve"> &gt;La question du handicap est parfois peu ou mal connue des encadrants et managers. Étant donné que cette méconnaissance peut engendrer des difficultés dans votre pratique professionnelle (situations complexes pouvant devenir conflictuelles, risque de discrimination, de contentieux, méconnaissance de certains dispositifs, etc) nous vous proposons ici une autoformation concrète et rapide afin de mieux appréhender le handicap dans votre pratique professionnelle. Cette sensibilisation a pour but de vous permettre de mieux accompagner les personnels en situation de handicap (qu’ils soient déclarés ou non) dans l’optique d’une amélioration des pratiques, pour vous faciliter la tâche et également améliorer les prises en charge des personnels concernés.</w:t>
      </w:r>
    </w:p>
    <w:p>
      <w:pPr>
        <w:pStyle w:val="BodyText"/>
        <w:rPr/>
      </w:pPr>
      <w:r>
        <w:fldChar w:fldCharType="begin"/>
      </w:r>
      <w:r>
        <w:rPr/>
        <w:instrText xml:space="preserve"> HYPERLINK "https://magistere.education.fr/local/magistere_offers/index.php?v=formation" \l "offer=1246"</w:instrText>
      </w:r>
      <w:r>
        <w:rPr/>
        <w:fldChar w:fldCharType="separate"/>
      </w:r>
      <w:r>
        <w:rPr/>
        <w:t>RenoiRH - Moteur indemnitaire</w:t>
      </w:r>
      <w:r>
        <w:rPr/>
        <w:fldChar w:fldCharType="end"/>
      </w:r>
      <w:r>
        <w:rPr/>
        <w:t xml:space="preserve"> &gt;Cet e-learning présente le moteur indemnitaire de RenoiRH ainsi que les différentes étapes à effectuer par le gestionnaire, de l’installation de la prime à son déversement en préliquidation.</w:t>
      </w:r>
    </w:p>
    <w:p>
      <w:pPr>
        <w:pStyle w:val="BodyText"/>
        <w:rPr/>
      </w:pPr>
      <w:r>
        <w:fldChar w:fldCharType="begin"/>
      </w:r>
      <w:r>
        <w:rPr/>
        <w:instrText xml:space="preserve"> HYPERLINK "https://magistere.education.fr/local/magistere_offers/index.php?v=formation" \l "offer=1235"</w:instrText>
      </w:r>
      <w:r>
        <w:rPr/>
        <w:fldChar w:fldCharType="separate"/>
      </w:r>
      <w:r>
        <w:rPr/>
        <w:t>RenoiRH - GAUdDI : Dépôt et qualification</w:t>
      </w:r>
      <w:r>
        <w:rPr/>
        <w:fldChar w:fldCharType="end"/>
      </w:r>
      <w:r>
        <w:rPr/>
        <w:t xml:space="preserve"> &gt;En plus des formations qui seront dispensées en présentiel, le SEMSIRH souhaite mettre en place des formations en e-learning sur des thématiques spécifiques (la découverte générale de l’outil, la signature d’un acte de façon dématérialisée ainsi que la présentation du module Gestion des Moyens). Ce e-learning est dédié au fonctionnement du dépôt et de la qualification dans le cadre de GAUdDI.</w:t>
      </w:r>
    </w:p>
    <w:p>
      <w:pPr>
        <w:pStyle w:val="BodyText"/>
        <w:rPr/>
      </w:pPr>
      <w:r>
        <w:fldChar w:fldCharType="begin"/>
      </w:r>
      <w:r>
        <w:rPr/>
        <w:instrText xml:space="preserve"> HYPERLINK "https://magistere.education.fr/local/magistere_offers/index.php?v=formation" \l "offer=1199"</w:instrText>
      </w:r>
      <w:r>
        <w:rPr/>
        <w:fldChar w:fldCharType="separate"/>
      </w:r>
      <w:r>
        <w:rPr/>
        <w:t>RenoiRH - Gestion des Moyens</w:t>
      </w:r>
      <w:r>
        <w:rPr/>
        <w:fldChar w:fldCharType="end"/>
      </w:r>
      <w:r>
        <w:rPr/>
        <w:t xml:space="preserve"> &gt;Ce e-learning permet de présenter les fonctionnalités de gestion des moyens mises en œuvre dans RenoiRH, qui permettent de répondre à l’objectif de sécurisation de la chaîne budgétaire, de la définition des plafonds d’emplois jusqu’à la consommation des postes.</w:t>
      </w:r>
    </w:p>
    <w:p>
      <w:pPr>
        <w:pStyle w:val="BodyText"/>
        <w:rPr/>
      </w:pPr>
      <w:r>
        <w:fldChar w:fldCharType="begin"/>
      </w:r>
      <w:r>
        <w:rPr/>
        <w:instrText xml:space="preserve"> HYPERLINK "https://magistere.education.fr/local/magistere_offers/index.php?v=formation" \l "offer=1198"</w:instrText>
      </w:r>
      <w:r>
        <w:rPr/>
        <w:fldChar w:fldCharType="separate"/>
      </w:r>
      <w:r>
        <w:rPr/>
        <w:t>RenoiRH - Découverte &amp; Navigation</w:t>
      </w:r>
      <w:r>
        <w:rPr/>
        <w:fldChar w:fldCharType="end"/>
      </w:r>
      <w:r>
        <w:rPr/>
        <w:t xml:space="preserve"> &gt;Ce parcours “Découverte &amp; Navigation” permet de comprendre le fonctionnement de RenoiRH, son ergonomie et les chemin d’accès aux informations du dossier Agent.</w:t>
      </w:r>
    </w:p>
    <w:p>
      <w:pPr>
        <w:pStyle w:val="BodyText"/>
        <w:rPr/>
      </w:pPr>
      <w:r>
        <w:fldChar w:fldCharType="begin"/>
      </w:r>
      <w:r>
        <w:rPr/>
        <w:instrText xml:space="preserve"> HYPERLINK "https://magistere.education.fr/local/magistere_offers/index.php?v=formation" \l "offer=1236"</w:instrText>
      </w:r>
      <w:r>
        <w:rPr/>
        <w:fldChar w:fldCharType="separate"/>
      </w:r>
      <w:r>
        <w:rPr/>
        <w:t>Services numériques pour l’agent</w:t>
      </w:r>
      <w:r>
        <w:rPr/>
        <w:fldChar w:fldCharType="end"/>
      </w:r>
    </w:p>
    <w:p>
      <w:pPr>
        <w:pStyle w:val="BlockText"/>
        <w:rPr/>
      </w:pPr>
      <w:r>
        <w:rPr/>
        <w:t>Ce parcours propose un ensemble de ressources (tutoriels vidéo, quiz, activités interactives, activités pratiques, documentations, liens…) pour accompagner l’usage de services et outils numériques proposés aux agents de l’Education nationale par la Direction du numérique pour l’éducation.</w:t>
      </w:r>
    </w:p>
    <w:p>
      <w:pPr>
        <w:pStyle w:val="FirstParagraph"/>
        <w:rPr/>
      </w:pPr>
      <w:r>
        <w:fldChar w:fldCharType="begin"/>
      </w:r>
      <w:r>
        <w:rPr/>
        <w:instrText xml:space="preserve"> HYPERLINK "https://magistere.education.fr/local/magistere_offers/index.php?v=formation" \l "offer=709"</w:instrText>
      </w:r>
      <w:r>
        <w:rPr/>
        <w:fldChar w:fldCharType="separate"/>
      </w:r>
      <w:r>
        <w:rPr/>
        <w:t>Partager et mutualiser des fichiers en mobilité avec Nuage</w:t>
      </w:r>
      <w:r>
        <w:rPr/>
        <w:fldChar w:fldCharType="end"/>
      </w:r>
      <w:r>
        <w:rPr/>
        <w:t xml:space="preserve"> &gt;Ce parcours, d’une durée de 1 à 3 heures, est proposé en autoformation aux personnels qui souhaitent utiliser le service de partage et de mutualisation des fichiers professionnels Nuage. Ils y apprendront à se connecter à l’application, à télécharger et paramétrer l’application client pour synchroniser les fichiers sur différents appareils, à partager et mutualiser des fichiers.</w:t>
      </w:r>
    </w:p>
    <w:p>
      <w:pPr>
        <w:pStyle w:val="BodyText"/>
        <w:rPr/>
      </w:pPr>
      <w:r>
        <w:fldChar w:fldCharType="begin"/>
      </w:r>
      <w:r>
        <w:rPr/>
        <w:instrText xml:space="preserve"> HYPERLINK "https://magistere.education.fr/local/magistere_offers/index.php?v=formation" \l "offer=1166"</w:instrText>
      </w:r>
      <w:r>
        <w:rPr/>
        <w:fldChar w:fldCharType="separate"/>
      </w:r>
      <w:r>
        <w:rPr/>
        <w:t>Promouvoir l’égalité et la diversité au travail - 2022</w:t>
      </w:r>
      <w:r>
        <w:rPr/>
        <w:fldChar w:fldCharType="end"/>
      </w:r>
      <w:r>
        <w:rPr/>
        <w:t xml:space="preserve"> &gt;Ce parcours propose une sensibilisation aux enjeux de l’égalité en autoformation, ouvert à tout utilisateur M@gistère et adaptable pour les organisateurs d’actions de formation ponctuelles.</w:t>
      </w:r>
    </w:p>
    <w:p>
      <w:pPr>
        <w:pStyle w:val="BodyText"/>
        <w:rPr/>
      </w:pPr>
      <w:r>
        <w:fldChar w:fldCharType="begin"/>
      </w:r>
      <w:r>
        <w:rPr/>
        <w:instrText xml:space="preserve"> HYPERLINK "https://magistere.education.fr/local/magistere_offers/index.php?v=formation" \l "offer=1076"</w:instrText>
      </w:r>
      <w:r>
        <w:rPr/>
        <w:fldChar w:fldCharType="separate"/>
      </w:r>
      <w:r>
        <w:rPr/>
        <w:t>Comprendre pour agir - Egalité professionnelle entre les femmes et les hommes - divers …</w:t>
      </w:r>
      <w:r>
        <w:rPr/>
        <w:fldChar w:fldCharType="end"/>
      </w:r>
      <w:r>
        <w:rPr/>
        <w:t xml:space="preserve"> &gt;Ce parcours, en auto-formation a été créé par le comité de pilotage égalité pro F/H de l’académie d’Aix-Marseille. Il est à destination des personnels de cette académie pour les sensibiliser et leur permettre de développer une culture commune sur la lutte contre les stéréotypes et plus particulièrement les inégalités professionnelles entre les femmes et les hommes. 3 modules, le 1er module est un prérequis aux 2 autres.</w:t>
      </w:r>
    </w:p>
    <w:p>
      <w:pPr>
        <w:pStyle w:val="BodyText"/>
        <w:rPr/>
      </w:pPr>
      <w:r>
        <w:fldChar w:fldCharType="begin"/>
      </w:r>
      <w:r>
        <w:rPr/>
        <w:instrText xml:space="preserve"> HYPERLINK "https://magistere.education.fr/local/magistere_offers/index.php?v=formation" \l "offer=1136"</w:instrText>
      </w:r>
      <w:r>
        <w:rPr/>
        <w:fldChar w:fldCharType="separate"/>
      </w:r>
      <w:r>
        <w:rPr/>
        <w:t>Préparer les concours de personnels de direction et d’inspecteurs</w:t>
      </w:r>
      <w:r>
        <w:rPr/>
        <w:fldChar w:fldCharType="end"/>
      </w:r>
      <w:r>
        <w:rPr/>
        <w:t xml:space="preserve"> &gt;Le parcours numérique d’aide à la préparation des concours de personnel de direction et d’inspecteur, en autoformation, est le fruit d’une réflexion collective des équipes de l’Institut des hautes études de l’éducation et de la formation (IH2EF) et de personnels de direction et d’inspecteurs membres des certaines équipes académiques de cette même formation. Ce parcours est proposé en autoformation et en auto-inscription, il est complémentaire du parcours numérique déployé et accompagné par vos services de formation académique. Il ne se veut pas exhaustif des réalités professionnelles et de la complexité de métiers qui se réinventent dans le temps et dans l’espace. Sa seule vocation est de vous permettre d’aborder de façon organisée et coordonnée une transition professionnelle qui peut prendre du temps. Pour vous aider et vous soutenir dans cette évolution, nous mettons à votre disposition des ressources d’origines et aux fonctions très variées. Celles-ci sont tenues à jour périodiquement. Certaines d’entre elles ont été produites dans un passé plus ou moins ancien, mais elles sont conservées au vu de leur intérêt.</w:t>
      </w:r>
    </w:p>
    <w:p>
      <w:pPr>
        <w:pStyle w:val="BodyText"/>
        <w:rPr/>
      </w:pPr>
      <w:r>
        <w:fldChar w:fldCharType="begin"/>
      </w:r>
      <w:r>
        <w:rPr/>
        <w:instrText xml:space="preserve"> HYPERLINK "https://magistere.education.fr/local/magistere_offers/index.php?v=formation" \l "offer=1087"</w:instrText>
      </w:r>
      <w:r>
        <w:rPr/>
        <w:fldChar w:fldCharType="separate"/>
      </w:r>
      <w:r>
        <w:rPr/>
        <w:t>Services Publics + : pour des services publics plus proches, plus simples, plus efficaces</w:t>
      </w:r>
      <w:r>
        <w:rPr/>
        <w:fldChar w:fldCharType="end"/>
      </w:r>
      <w:r>
        <w:rPr/>
        <w:t xml:space="preserve"> &gt;Depuis plusieurs années, les services de l’Etat travaillent à améliorer l’accueil de leurs usagers, qu’il s’agisse d’un accueil physique ou en ligne, par téléphone ou par courrier, grâce aux engagements Marianne. Créés en 2005, ces engagements ont déjà été déployés par plus de 4500 organismes publics volontaires. De profonds changements dans l’organisation des services concernés sont déjà visibles !</w:t>
      </w:r>
    </w:p>
    <w:p>
      <w:pPr>
        <w:pStyle w:val="BodyText"/>
        <w:rPr/>
      </w:pPr>
      <w:r>
        <w:fldChar w:fldCharType="begin"/>
      </w:r>
      <w:r>
        <w:rPr/>
        <w:instrText xml:space="preserve"> HYPERLINK "https://magistere.education.fr/local/magistere_offers/index.php?v=formation" \l "offer=1033"</w:instrText>
      </w:r>
      <w:r>
        <w:rPr/>
        <w:fldChar w:fldCharType="separate"/>
      </w:r>
      <w:r>
        <w:rPr/>
        <w:t>Dinamo - Euroguidance</w:t>
      </w:r>
      <w:r>
        <w:rPr/>
        <w:fldChar w:fldCharType="end"/>
      </w:r>
      <w:r>
        <w:rPr/>
        <w:t xml:space="preserve"> &gt;DINAMO (Découvrir, Informer, Accompagner la Mobilité en Orientation) est une plateforme de formation à destination des professionnels de l’orientation tout au long de la vie. DINAMO aborde les principales notions liées à un projet de mobilité à l’international : quels sont les enjeux et bénéfices d’une mobilité ? Quels outils existent au niveau européen pour améliorer la transparence des compétences et des qualifications ? Quelles sont les différentes formes de la mobilité et enfin comment accompagner les personnes souhaitant vivre une expérience à l’étranger ? Cette plate-forme de formation ne porte que sur des projets de mobilité dite “choisie”. Il s’agit d’outiller des professionnels de l’orientation recevant des consultants venant volontairement et librement aborder la question de la mobilité. Cet espace magistère centralise les inscriptions à 4 modules Dinamo donnant lieu à une attestation de participation et à un module complémentaire (Erasmus+). Une attestation de participation globale sera décernée au participant ayant terminé les 4 modules auquel renvoit cet espace.</w:t>
      </w:r>
    </w:p>
    <w:p>
      <w:pPr>
        <w:pStyle w:val="BodyText"/>
        <w:rPr/>
      </w:pPr>
      <w:r>
        <w:fldChar w:fldCharType="begin"/>
      </w:r>
      <w:r>
        <w:rPr/>
        <w:instrText xml:space="preserve"> HYPERLINK "https://magistere.education.fr/local/magistere_offers/index.php?v=formation" \l "offer=967"</w:instrText>
      </w:r>
      <w:r>
        <w:rPr/>
        <w:fldChar w:fldCharType="separate"/>
      </w:r>
      <w:r>
        <w:rPr/>
        <w:t>Gestion des non titulaires</w:t>
      </w:r>
      <w:r>
        <w:rPr/>
        <w:fldChar w:fldCharType="end"/>
      </w:r>
      <w:r>
        <w:rPr/>
        <w:t xml:space="preserve"> &gt;Formation Gestion des personnels non-titulaires.</w:t>
      </w:r>
    </w:p>
    <w:p>
      <w:pPr>
        <w:pStyle w:val="BodyText"/>
        <w:rPr/>
      </w:pPr>
      <w:r>
        <w:fldChar w:fldCharType="begin"/>
      </w:r>
      <w:r>
        <w:rPr/>
        <w:instrText xml:space="preserve"> HYPERLINK "https://magistere.education.fr/local/magistere_offers/index.php?v=formation" \l "offer=877"</w:instrText>
      </w:r>
      <w:r>
        <w:rPr/>
        <w:fldChar w:fldCharType="separate"/>
      </w:r>
      <w:r>
        <w:rPr/>
        <w:t>Agent comptable ou régisseur en EPLE</w:t>
      </w:r>
      <w:r>
        <w:rPr/>
        <w:fldChar w:fldCharType="end"/>
      </w:r>
      <w:r>
        <w:rPr/>
        <w:t xml:space="preserve"> &gt;Attention : 2020. Cet espace ou parcours M@GISTERE ’’ Agent comptable ou régisseur en EPLE ’’ a pour objectif de démystifier la fonction comptable, de découvrir les différentes étapes de la fonction comptable, les missions du comptable, ses contrôles lors des opérations d’exécution budgétaire et d’appréhender la responsabilité personnelle et pécuniaire des comptables en EPLE. Il présente la mutation de la fonction et retrace l’évolution jurisprudentielle de ces dernières années. La documentation mise en ligne permettra de prolonger et d’approfondir la connaissance du sujet.</w:t>
      </w:r>
    </w:p>
    <w:p>
      <w:pPr>
        <w:pStyle w:val="BodyText"/>
        <w:rPr/>
      </w:pPr>
      <w:r>
        <w:fldChar w:fldCharType="begin"/>
      </w:r>
      <w:r>
        <w:rPr/>
        <w:instrText xml:space="preserve"> HYPERLINK "https://magistere.education.fr/local/magistere_offers/index.php?v=formation" \l "offer=872"</w:instrText>
      </w:r>
      <w:r>
        <w:rPr/>
        <w:fldChar w:fldCharType="separate"/>
      </w:r>
      <w:r>
        <w:rPr/>
        <w:t>Le droit de la comptabilité publique en EPLE</w:t>
      </w:r>
      <w:r>
        <w:rPr/>
        <w:fldChar w:fldCharType="end"/>
      </w:r>
      <w:r>
        <w:rPr/>
        <w:t xml:space="preserve"> &gt;Ce droit, essentiel pour la bonne exécution des opérations budgétaires, est parfois méconnu ou, tout du moins, insuffisamment connu des acteurs, générant de ce fait incompréhension et difficultés. Après avoir présenté les différents textes et l’objet du droit comptable en EPLE, ce parcours aborde successivement le principe de séparation des ordonnateurs et des comptables, le rôle des différents acteurs. Il présente l’exécution des opérations de recettes et de dépenses quijuxtaposent les étapes administratives et comptables qui verront l’ordonnateur et le comptable intervenir.</w:t>
      </w:r>
    </w:p>
    <w:p>
      <w:pPr>
        <w:pStyle w:val="BodyText"/>
        <w:rPr/>
      </w:pPr>
      <w:r>
        <w:fldChar w:fldCharType="begin"/>
      </w:r>
      <w:r>
        <w:rPr/>
        <w:instrText xml:space="preserve"> HYPERLINK "https://magistere.education.fr/local/magistere_offers/index.php?v=formation" \l "offer=856"</w:instrText>
      </w:r>
      <w:r>
        <w:rPr/>
        <w:fldChar w:fldCharType="separate"/>
      </w:r>
      <w:r>
        <w:rPr/>
        <w:t>Gestion Individuelle sur EPP, E3P, AGAPE, AGORA</w:t>
      </w:r>
      <w:r>
        <w:rPr/>
        <w:fldChar w:fldCharType="end"/>
      </w:r>
      <w:r>
        <w:rPr/>
        <w:t xml:space="preserve"> &gt;Initialiser le dossier d’un agent et la saisie des informations de gestion individuelle en se basant sur les indicateurs de gestion. Renseigner les données hors carrière, puis les grade, échelon, chevron, position, affectation, modalité de service, congé, ancienneté… d’un agent. Finaliser la création d’un dossier administratif, ou actualiser à la demande les données d’un agent.</w:t>
      </w:r>
    </w:p>
    <w:p>
      <w:pPr>
        <w:pStyle w:val="BodyText"/>
        <w:rPr/>
      </w:pPr>
      <w:r>
        <w:fldChar w:fldCharType="begin"/>
      </w:r>
      <w:r>
        <w:rPr/>
        <w:instrText xml:space="preserve"> HYPERLINK "https://magistere.education.fr/local/magistere_offers/index.php?v=formation" \l "offer=858"</w:instrText>
      </w:r>
      <w:r>
        <w:rPr/>
        <w:fldChar w:fldCharType="separate"/>
      </w:r>
      <w:r>
        <w:rPr/>
        <w:t>Paye pour les AdSI-RH</w:t>
      </w:r>
      <w:r>
        <w:rPr/>
        <w:fldChar w:fldCharType="end"/>
      </w:r>
      <w:r>
        <w:rPr/>
        <w:t xml:space="preserve"> &gt;Parcours de formation destiné aux nouveaux gestionnaires AGAPE. AGAPE est le Système d’information de ressources humaines permettant la gestion de la carrière des personnels enseignants du 1er degré.</w:t>
      </w:r>
    </w:p>
    <w:p>
      <w:pPr>
        <w:pStyle w:val="BodyText"/>
        <w:rPr/>
      </w:pPr>
      <w:r>
        <w:fldChar w:fldCharType="begin"/>
      </w:r>
      <w:r>
        <w:rPr/>
        <w:instrText xml:space="preserve"> HYPERLINK "https://magistere.education.fr/local/magistere_offers/index.php?v=formation" \l "offer=855"</w:instrText>
      </w:r>
      <w:r>
        <w:rPr/>
        <w:fldChar w:fldCharType="separate"/>
      </w:r>
      <w:r>
        <w:rPr/>
        <w:t>Prise en charge de rentrée EPP</w:t>
      </w:r>
      <w:r>
        <w:rPr/>
        <w:fldChar w:fldCharType="end"/>
      </w:r>
      <w:r>
        <w:rPr/>
        <w:t xml:space="preserve"> &gt;Parcours de formation destiné aux nouveaux gestionnaires EPP. EPP est le Système d’information de ressources humaines permettant la gestion de la carrière des personnels enseignants du 2nd degré.</w:t>
      </w:r>
    </w:p>
    <w:p>
      <w:pPr>
        <w:pStyle w:val="BodyText"/>
        <w:rPr/>
      </w:pPr>
      <w:r>
        <w:fldChar w:fldCharType="begin"/>
      </w:r>
      <w:r>
        <w:rPr/>
        <w:instrText xml:space="preserve"> HYPERLINK "https://magistere.education.fr/local/magistere_offers/index.php?v=formation" \l "offer=846"</w:instrText>
      </w:r>
      <w:r>
        <w:rPr/>
        <w:fldChar w:fldCharType="separate"/>
      </w:r>
      <w:r>
        <w:rPr/>
        <w:t>Gestion du Remplacement et de la Suppléance</w:t>
      </w:r>
      <w:r>
        <w:rPr/>
        <w:fldChar w:fldCharType="end"/>
      </w:r>
      <w:r>
        <w:rPr/>
        <w:t xml:space="preserve"> &gt;Formation Gestion du remplacement et de la suppléance.</w:t>
      </w:r>
    </w:p>
    <w:p>
      <w:pPr>
        <w:pStyle w:val="BodyText"/>
        <w:rPr/>
      </w:pPr>
      <w:r>
        <w:fldChar w:fldCharType="begin"/>
      </w:r>
      <w:r>
        <w:rPr/>
        <w:instrText xml:space="preserve"> HYPERLINK "https://magistere.education.fr/local/magistere_offers/index.php?v=formation" \l "offer=785"</w:instrText>
      </w:r>
      <w:r>
        <w:rPr/>
        <w:fldChar w:fldCharType="separate"/>
      </w:r>
      <w:r>
        <w:rPr/>
        <w:t>Connaître le budget de l’EPLE</w:t>
      </w:r>
      <w:r>
        <w:rPr/>
        <w:fldChar w:fldCharType="end"/>
      </w:r>
      <w:r>
        <w:rPr/>
        <w:t xml:space="preserve"> &gt;Ce parcours s’adresse prioritairement aux personnels administratifs qu’ils soient contractuels, néo-titulaires et nouvellement nommés en agence comptable ou dans un service d’intendance d’un EPLE. Il peut également intéresser les personnes en recherche de mobilité fonctionnelle.</w:t>
      </w:r>
    </w:p>
    <w:p>
      <w:pPr>
        <w:pStyle w:val="BodyText"/>
        <w:rPr/>
      </w:pPr>
      <w:r>
        <w:fldChar w:fldCharType="begin"/>
      </w:r>
      <w:r>
        <w:rPr/>
        <w:instrText xml:space="preserve"> HYPERLINK "https://magistere.education.fr/local/magistere_offers/index.php?v=formation" \l "offer=782"</w:instrText>
      </w:r>
      <w:r>
        <w:rPr/>
        <w:fldChar w:fldCharType="separate"/>
      </w:r>
      <w:r>
        <w:rPr/>
        <w:t>Se préparer au concours interne Adjoint Administratif</w:t>
      </w:r>
      <w:r>
        <w:rPr/>
        <w:fldChar w:fldCharType="end"/>
      </w:r>
      <w:r>
        <w:rPr/>
        <w:t xml:space="preserve"> &gt;Ce parcours en auto-formation est destiné aux personnels qui souhaitent préparer en autonomie le concours interne adjoint administratif de la fonction publique.D’une durée de 4 heures, il propose des ressources et des activités pour vous entrainer en autonomie sur les épreuves.</w:t>
      </w:r>
    </w:p>
    <w:p>
      <w:pPr>
        <w:pStyle w:val="BodyText"/>
        <w:rPr/>
      </w:pPr>
      <w:r>
        <w:fldChar w:fldCharType="begin"/>
      </w:r>
      <w:r>
        <w:rPr/>
        <w:instrText xml:space="preserve"> HYPERLINK "https://magistere.education.fr/local/magistere_offers/index.php?v=formation" \l "offer=582"</w:instrText>
      </w:r>
      <w:r>
        <w:rPr/>
        <w:fldChar w:fldCharType="separate"/>
      </w:r>
      <w:r>
        <w:rPr/>
        <w:t>Découvrir l’environnement professionnel d’un personnel administratif</w:t>
      </w:r>
      <w:r>
        <w:rPr/>
        <w:fldChar w:fldCharType="end"/>
      </w:r>
      <w:r>
        <w:rPr/>
        <w:t xml:space="preserve"> &gt;Ce parcours s’adresse prioritairement aux personnels administratifs qu’ils soient contractuels, néo-titulaires ou qu’ils souhaitent changer de service. Ce parcours sera également utile aux personnels qui souhaitent passer un concours administratif pour leur permettre de s’imprégner de la culture administrative.</w:t>
      </w:r>
    </w:p>
    <w:p>
      <w:pPr>
        <w:pStyle w:val="BodyText"/>
        <w:rPr/>
      </w:pPr>
      <w:r>
        <w:fldChar w:fldCharType="begin"/>
      </w:r>
      <w:r>
        <w:rPr/>
        <w:instrText xml:space="preserve"> HYPERLINK "https://magistere.education.fr/local/magistere_offers/index.php?v=formation" \l "offer=266"</w:instrText>
      </w:r>
      <w:r>
        <w:rPr/>
        <w:fldChar w:fldCharType="separate"/>
      </w:r>
      <w:r>
        <w:rPr/>
        <w:t>La comptabilité de l’EPLE</w:t>
      </w:r>
      <w:r>
        <w:rPr/>
        <w:fldChar w:fldCharType="end"/>
      </w:r>
      <w:r>
        <w:rPr/>
        <w:t xml:space="preserve"> &gt;Parcours m@gistère sans scénario de formation qui explique les mécanismes comptables nécessaires à la gestion des établissements publics locaux d’enseignement et qui vise à développer la culture comptable.</w:t>
      </w:r>
    </w:p>
    <w:p>
      <w:pPr>
        <w:pStyle w:val="BodyText"/>
        <w:rPr/>
      </w:pPr>
      <w:r>
        <w:fldChar w:fldCharType="begin"/>
      </w:r>
      <w:r>
        <w:rPr/>
        <w:instrText xml:space="preserve"> HYPERLINK "https://magistere.education.fr/local/magistere_offers/index.php?v=formation" \l "offer=159"</w:instrText>
      </w:r>
      <w:r>
        <w:rPr/>
        <w:fldChar w:fldCharType="separate"/>
      </w:r>
      <w:r>
        <w:rPr/>
        <w:t>Constituer son dossier RAEP pour les personnels de catégries A,B,C</w:t>
      </w:r>
      <w:r>
        <w:rPr/>
        <w:fldChar w:fldCharType="end"/>
      </w:r>
      <w:r>
        <w:rPr/>
        <w:t xml:space="preserve"> &gt;Cette formation propose une méthodologie de constitution du dossier RAEP pour les personnels administratifs de catégories A,B,C. Initialement conçue par le service formation du ministère de l’Intérieur, elle a été adaptée pour le ministère de l’Education nationale. Elle répond aux besoins des agents, quel que soit le service de rattachement. Cette méthode de constitution du dossier, même si elle doit s’adapter en fonction du concours ou examen professionnel, permet de faire un travail de rétrospective sur les différents postes occupés et les compétences et qualités développées. Cette formation permet à chacun de prendre conscience de l’étendue de ses savoirs, savoir-faire et savoir-être.</w:t>
      </w:r>
    </w:p>
    <w:p>
      <w:pPr>
        <w:pStyle w:val="BodyText"/>
        <w:rPr/>
      </w:pPr>
      <w:r>
        <w:fldChar w:fldCharType="begin"/>
      </w:r>
      <w:r>
        <w:rPr/>
        <w:instrText xml:space="preserve"> HYPERLINK "https://magistere.education.fr/local/magistere_offers/index.php?v=formation" \l "offer=272"</w:instrText>
      </w:r>
      <w:r>
        <w:rPr/>
        <w:fldChar w:fldCharType="separate"/>
      </w:r>
      <w:r>
        <w:rPr/>
        <w:t>Achat public en EPLE</w:t>
      </w:r>
      <w:r>
        <w:rPr/>
        <w:fldChar w:fldCharType="end"/>
      </w:r>
      <w:r>
        <w:rPr/>
        <w:t xml:space="preserve"> &gt;Ce parcours de formation aborde le thème de la commande publique en établissement public local d’enseignement (EPLE). Il présente, sous forme de fiches thématiques, les textes relatifs aux marchés publics applicables depuis le 1er avril 2016 ainsi que les règles propres aux EPLE. Ce parcours disponible en auto inscription et en autonomie constitue une base documentaire indispensable à tout acheteur public.</w:t>
      </w:r>
    </w:p>
    <w:p>
      <w:pPr>
        <w:pStyle w:val="BodyText"/>
        <w:spacing w:before="180" w:after="180"/>
        <w:rPr/>
      </w:pPr>
      <w:r>
        <w:fldChar w:fldCharType="begin"/>
      </w:r>
      <w:r>
        <w:rPr/>
        <w:instrText xml:space="preserve"> HYPERLINK "https://magistere.education.fr/local/magistere_offers/index.php?v=formation" \l "offer=271"</w:instrText>
      </w:r>
      <w:r>
        <w:rPr/>
        <w:fldChar w:fldCharType="separate"/>
      </w:r>
      <w:r>
        <w:rPr/>
        <w:t>CICF - Maîtrise des risques comptables et financiers</w:t>
      </w:r>
      <w:r>
        <w:rPr/>
        <w:fldChar w:fldCharType="end"/>
      </w:r>
      <w:r>
        <w:rPr/>
        <w:t xml:space="preserve"> &gt;Ce parcours de formation aborde le pilotage de l’établissement public local d’enseignement (EPLE), et notamment sa gestion financière, sous l’angle de la maîtrise des risques financiers et comptables. Il met à disposition des acteurs de l’établissement de nombreuses ressources.</w:t>
      </w:r>
      <w:bookmarkEnd w:id="0"/>
      <w:bookmarkEnd w:id="1"/>
    </w:p>
    <w:sectPr>
      <w:type w:val="nextPage"/>
      <w:pgSz w:w="12240" w:h="15840"/>
      <w:pgMar w:left="1417" w:right="1417" w:gutter="0" w:header="0" w:top="1417" w:footer="0" w:bottom="141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Cambria">
    <w:charset w:val="01"/>
    <w:family w:val="roman"/>
    <w:pitch w:val="variable"/>
  </w:font>
  <w:font w:name="Calibri">
    <w:charset w:val="01"/>
    <w:family w:val="roman"/>
    <w:pitch w:val="variable"/>
  </w:font>
  <w:font w:name="Consolas">
    <w:charset w:val="01"/>
    <w:family w:val="auto"/>
    <w:pitch w:val="variable"/>
  </w:font>
  <w:font w:name="Carlito">
    <w:altName w:val="Calibri"/>
    <w:charset w:val="01"/>
    <w:family w:val="swiss"/>
    <w:pitch w:val="variable"/>
  </w:font>
</w:fonts>
</file>

<file path=word/settings.xml><?xml version="1.0" encoding="utf-8"?>
<w:settings xmlns:w="http://schemas.openxmlformats.org/wordprocessingml/2006/main">
  <w:zoom w:percent="100"/>
  <w:embedSystemFonts/>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Heading1">
    <w:name w:val="Heading 1"/>
    <w:basedOn w:val="Normal"/>
    <w:next w:val="BodyText"/>
    <w:uiPriority w:val="9"/>
    <w:qFormat/>
    <w:pPr>
      <w:keepNext w:val="true"/>
      <w:keepLines/>
      <w:spacing w:before="480" w:after="0"/>
      <w:outlineLvl w:val="0"/>
    </w:pPr>
    <w:rPr>
      <w:rFonts w:ascii="Calibri" w:hAnsi="Calibri" w:eastAsia="" w:cs="" w:asciiTheme="majorHAnsi" w:cstheme="majorBidi" w:eastAsiaTheme="majorEastAsia" w:hAnsiTheme="majorHAnsi"/>
      <w:b/>
      <w:bCs/>
      <w:color w:themeColor="accent1" w:val="4F81BD"/>
      <w:sz w:val="32"/>
      <w:szCs w:val="32"/>
    </w:rPr>
  </w:style>
  <w:style w:type="paragraph" w:styleId="Heading2">
    <w:name w:val="Heading 2"/>
    <w:basedOn w:val="Normal"/>
    <w:next w:val="BodyText"/>
    <w:uiPriority w:val="9"/>
    <w:unhideWhenUsed/>
    <w:qFormat/>
    <w:pPr>
      <w:keepNext w:val="true"/>
      <w:keepLines/>
      <w:spacing w:before="200" w:after="0"/>
      <w:outlineLvl w:val="1"/>
    </w:pPr>
    <w:rPr>
      <w:rFonts w:ascii="Calibri" w:hAnsi="Calibri" w:eastAsia="" w:cs="" w:asciiTheme="majorHAnsi" w:cstheme="majorBidi" w:eastAsiaTheme="majorEastAsia" w:hAnsiTheme="majorHAnsi"/>
      <w:b/>
      <w:bCs/>
      <w:color w:themeColor="accent1" w:val="4F81BD"/>
      <w:sz w:val="28"/>
      <w:szCs w:val="28"/>
    </w:rPr>
  </w:style>
  <w:style w:type="paragraph" w:styleId="Heading3">
    <w:name w:val="Heading 3"/>
    <w:basedOn w:val="Normal"/>
    <w:next w:val="BodyText"/>
    <w:uiPriority w:val="9"/>
    <w:unhideWhenUsed/>
    <w:qFormat/>
    <w:pPr>
      <w:keepNext w:val="true"/>
      <w:keepLines/>
      <w:spacing w:before="200" w:after="0"/>
      <w:outlineLvl w:val="2"/>
    </w:pPr>
    <w:rPr>
      <w:rFonts w:ascii="Calibri" w:hAnsi="Calibri" w:eastAsia="" w:cs="" w:asciiTheme="majorHAnsi" w:cstheme="majorBidi" w:eastAsiaTheme="majorEastAsia" w:hAnsiTheme="majorHAnsi"/>
      <w:b/>
      <w:bCs/>
      <w:color w:themeColor="accent1" w:val="4F81BD"/>
    </w:rPr>
  </w:style>
  <w:style w:type="paragraph" w:styleId="Heading4">
    <w:name w:val="Heading 4"/>
    <w:basedOn w:val="Normal"/>
    <w:next w:val="BodyText"/>
    <w:uiPriority w:val="9"/>
    <w:unhideWhenUsed/>
    <w:qFormat/>
    <w:pPr>
      <w:keepNext w:val="true"/>
      <w:keepLines/>
      <w:spacing w:before="200" w:after="0"/>
      <w:outlineLvl w:val="3"/>
    </w:pPr>
    <w:rPr>
      <w:rFonts w:ascii="Calibri" w:hAnsi="Calibri" w:eastAsia="" w:cs="" w:asciiTheme="majorHAnsi" w:cstheme="majorBidi" w:eastAsiaTheme="majorEastAsia" w:hAnsiTheme="majorHAnsi"/>
      <w:bCs/>
      <w:i/>
      <w:color w:themeColor="accent1" w:val="4F81BD"/>
    </w:rPr>
  </w:style>
  <w:style w:type="paragraph" w:styleId="Heading5">
    <w:name w:val="Heading 5"/>
    <w:basedOn w:val="Normal"/>
    <w:next w:val="BodyText"/>
    <w:uiPriority w:val="9"/>
    <w:unhideWhenUsed/>
    <w:qFormat/>
    <w:pPr>
      <w:keepNext w:val="true"/>
      <w:keepLines/>
      <w:spacing w:before="200" w:after="0"/>
      <w:outlineLvl w:val="4"/>
    </w:pPr>
    <w:rPr>
      <w:rFonts w:ascii="Calibri" w:hAnsi="Calibri" w:eastAsia="" w:cs="" w:asciiTheme="majorHAnsi" w:cstheme="majorBidi" w:eastAsiaTheme="majorEastAsia" w:hAnsiTheme="majorHAnsi"/>
      <w:iCs/>
      <w:color w:themeColor="accent1" w:val="4F81BD"/>
    </w:rPr>
  </w:style>
  <w:style w:type="paragraph" w:styleId="Heading6">
    <w:name w:val="Heading 6"/>
    <w:basedOn w:val="Normal"/>
    <w:next w:val="BodyText"/>
    <w:uiPriority w:val="9"/>
    <w:unhideWhenUsed/>
    <w:qFormat/>
    <w:pPr>
      <w:keepNext w:val="true"/>
      <w:keepLines/>
      <w:spacing w:before="200" w:after="0"/>
      <w:outlineLvl w:val="5"/>
    </w:pPr>
    <w:rPr>
      <w:rFonts w:ascii="Calibri" w:hAnsi="Calibri" w:eastAsia="" w:cs="" w:asciiTheme="majorHAnsi" w:cstheme="majorBidi" w:eastAsiaTheme="majorEastAsia" w:hAnsiTheme="majorHAnsi"/>
      <w:color w:themeColor="accent1" w:val="4F81BD"/>
    </w:rPr>
  </w:style>
  <w:style w:type="paragraph" w:styleId="Heading7">
    <w:name w:val="Heading 7"/>
    <w:basedOn w:val="Normal"/>
    <w:next w:val="BodyText"/>
    <w:uiPriority w:val="9"/>
    <w:unhideWhenUsed/>
    <w:qFormat/>
    <w:pPr>
      <w:keepNext w:val="true"/>
      <w:keepLines/>
      <w:spacing w:before="200" w:after="0"/>
      <w:outlineLvl w:val="6"/>
    </w:pPr>
    <w:rPr>
      <w:rFonts w:ascii="Calibri" w:hAnsi="Calibri" w:eastAsia="" w:cs="" w:asciiTheme="majorHAnsi" w:cstheme="majorBidi" w:eastAsiaTheme="majorEastAsia" w:hAnsiTheme="majorHAnsi"/>
      <w:color w:themeColor="accent1" w:val="4F81BD"/>
    </w:rPr>
  </w:style>
  <w:style w:type="paragraph" w:styleId="Heading8">
    <w:name w:val="Heading 8"/>
    <w:basedOn w:val="Normal"/>
    <w:next w:val="BodyText"/>
    <w:uiPriority w:val="9"/>
    <w:unhideWhenUsed/>
    <w:qFormat/>
    <w:pPr>
      <w:keepNext w:val="true"/>
      <w:keepLines/>
      <w:spacing w:before="200" w:after="0"/>
      <w:outlineLvl w:val="7"/>
    </w:pPr>
    <w:rPr>
      <w:rFonts w:ascii="Calibri" w:hAnsi="Calibri" w:eastAsia="" w:cs="" w:asciiTheme="majorHAnsi" w:cstheme="majorBidi" w:eastAsiaTheme="majorEastAsia" w:hAnsiTheme="majorHAnsi"/>
      <w:color w:themeColor="accent1" w:val="4F81BD"/>
    </w:rPr>
  </w:style>
  <w:style w:type="paragraph" w:styleId="Heading9">
    <w:name w:val="Heading 9"/>
    <w:basedOn w:val="Normal"/>
    <w:next w:val="BodyText"/>
    <w:uiPriority w:val="9"/>
    <w:unhideWhenUsed/>
    <w:qFormat/>
    <w:pPr>
      <w:keepNext w:val="true"/>
      <w:keepLines/>
      <w:spacing w:before="200" w:after="0"/>
      <w:outlineLvl w:val="8"/>
    </w:pPr>
    <w:rPr>
      <w:rFonts w:ascii="Calibri" w:hAnsi="Calibri" w:eastAsia="" w:cs="" w:asciiTheme="majorHAnsi" w:cstheme="majorBidi" w:eastAsiaTheme="majorEastAsia" w:hAnsiTheme="majorHAnsi"/>
      <w:color w:themeColor="accent1" w:val="4F81BD"/>
    </w:rPr>
  </w:style>
  <w:style w:type="character" w:styleId="DefaultParagraphFont" w:default="1">
    <w:name w:val="Default Paragraph Font"/>
    <w:uiPriority w:val="1"/>
    <w:semiHidden/>
    <w:unhideWhenUsed/>
    <w:qFormat/>
    <w:rPr/>
  </w:style>
  <w:style w:type="character" w:styleId="LgendeCar" w:customStyle="1">
    <w:name w:val="Légende Car"/>
    <w:basedOn w:val="DefaultParagraphFont"/>
    <w:qFormat/>
    <w:rPr/>
  </w:style>
  <w:style w:type="character" w:styleId="VerbatimChar" w:customStyle="1">
    <w:name w:val="Verbatim Char"/>
    <w:basedOn w:val="LgendeCar"/>
    <w:link w:val="SourceCode"/>
    <w:qFormat/>
    <w:rPr>
      <w:rFonts w:ascii="Consolas" w:hAnsi="Consolas"/>
      <w:sz w:val="22"/>
    </w:rPr>
  </w:style>
  <w:style w:type="character" w:styleId="SectionNumber" w:customStyle="1">
    <w:name w:val="Section Number"/>
    <w:basedOn w:val="LgendeCar"/>
    <w:qFormat/>
    <w:rPr/>
  </w:style>
  <w:style w:type="character" w:styleId="Caractresdenotedebasdepage">
    <w:name w:val="Caractères de note de bas de page"/>
    <w:basedOn w:val="LgendeCar"/>
    <w:qFormat/>
    <w:rPr>
      <w:vertAlign w:val="superscript"/>
    </w:rPr>
  </w:style>
  <w:style w:type="character" w:styleId="FootnoteReference">
    <w:name w:val="Footnote Reference"/>
    <w:rPr>
      <w:vertAlign w:val="superscript"/>
    </w:rPr>
  </w:style>
  <w:style w:type="character" w:styleId="Hyperlink">
    <w:name w:val="Hyperlink"/>
    <w:basedOn w:val="LgendeCar"/>
    <w:rPr>
      <w:color w:themeColor="accent1" w:val="4F81BD"/>
    </w:rPr>
  </w:style>
  <w:style w:type="character" w:styleId="KeywordTok" w:customStyle="1">
    <w:name w:val="KeywordTok"/>
    <w:basedOn w:val="VerbatimChar"/>
    <w:qFormat/>
    <w:rPr>
      <w:rFonts w:ascii="Consolas" w:hAnsi="Consolas"/>
      <w:b/>
      <w:color w:val="007020"/>
      <w:sz w:val="22"/>
    </w:rPr>
  </w:style>
  <w:style w:type="character" w:styleId="DataTypeTok" w:customStyle="1">
    <w:name w:val="DataTypeTok"/>
    <w:basedOn w:val="VerbatimChar"/>
    <w:qFormat/>
    <w:rPr>
      <w:rFonts w:ascii="Consolas" w:hAnsi="Consolas"/>
      <w:color w:val="902000"/>
      <w:sz w:val="22"/>
    </w:rPr>
  </w:style>
  <w:style w:type="character" w:styleId="DecValTok" w:customStyle="1">
    <w:name w:val="DecValTok"/>
    <w:basedOn w:val="VerbatimChar"/>
    <w:qFormat/>
    <w:rPr>
      <w:rFonts w:ascii="Consolas" w:hAnsi="Consolas"/>
      <w:color w:val="40A070"/>
      <w:sz w:val="22"/>
    </w:rPr>
  </w:style>
  <w:style w:type="character" w:styleId="BaseNTok" w:customStyle="1">
    <w:name w:val="BaseNTok"/>
    <w:basedOn w:val="VerbatimChar"/>
    <w:qFormat/>
    <w:rPr>
      <w:rFonts w:ascii="Consolas" w:hAnsi="Consolas"/>
      <w:color w:val="40A070"/>
      <w:sz w:val="22"/>
    </w:rPr>
  </w:style>
  <w:style w:type="character" w:styleId="FloatTok" w:customStyle="1">
    <w:name w:val="FloatTok"/>
    <w:basedOn w:val="VerbatimChar"/>
    <w:qFormat/>
    <w:rPr>
      <w:rFonts w:ascii="Consolas" w:hAnsi="Consolas"/>
      <w:color w:val="40A070"/>
      <w:sz w:val="22"/>
    </w:rPr>
  </w:style>
  <w:style w:type="character" w:styleId="ConstantTok" w:customStyle="1">
    <w:name w:val="ConstantTok"/>
    <w:basedOn w:val="VerbatimChar"/>
    <w:qFormat/>
    <w:rPr>
      <w:rFonts w:ascii="Consolas" w:hAnsi="Consolas"/>
      <w:color w:val="880000"/>
      <w:sz w:val="22"/>
    </w:rPr>
  </w:style>
  <w:style w:type="character" w:styleId="CharTok" w:customStyle="1">
    <w:name w:val="CharTok"/>
    <w:basedOn w:val="VerbatimChar"/>
    <w:qFormat/>
    <w:rPr>
      <w:rFonts w:ascii="Consolas" w:hAnsi="Consolas"/>
      <w:color w:val="4070A0"/>
      <w:sz w:val="22"/>
    </w:rPr>
  </w:style>
  <w:style w:type="character" w:styleId="SpecialCharTok" w:customStyle="1">
    <w:name w:val="SpecialCharTok"/>
    <w:basedOn w:val="VerbatimChar"/>
    <w:qFormat/>
    <w:rPr>
      <w:rFonts w:ascii="Consolas" w:hAnsi="Consolas"/>
      <w:color w:val="4070A0"/>
      <w:sz w:val="22"/>
    </w:rPr>
  </w:style>
  <w:style w:type="character" w:styleId="StringTok" w:customStyle="1">
    <w:name w:val="StringTok"/>
    <w:basedOn w:val="VerbatimChar"/>
    <w:qFormat/>
    <w:rPr>
      <w:rFonts w:ascii="Consolas" w:hAnsi="Consolas"/>
      <w:color w:val="4070A0"/>
      <w:sz w:val="22"/>
    </w:rPr>
  </w:style>
  <w:style w:type="character" w:styleId="VerbatimStringTok" w:customStyle="1">
    <w:name w:val="VerbatimStringTok"/>
    <w:basedOn w:val="VerbatimChar"/>
    <w:qFormat/>
    <w:rPr>
      <w:rFonts w:ascii="Consolas" w:hAnsi="Consolas"/>
      <w:color w:val="4070A0"/>
      <w:sz w:val="22"/>
    </w:rPr>
  </w:style>
  <w:style w:type="character" w:styleId="SpecialStringTok" w:customStyle="1">
    <w:name w:val="SpecialStringTok"/>
    <w:basedOn w:val="VerbatimChar"/>
    <w:qFormat/>
    <w:rPr>
      <w:rFonts w:ascii="Consolas" w:hAnsi="Consolas"/>
      <w:color w:val="BB6688"/>
      <w:sz w:val="22"/>
    </w:rPr>
  </w:style>
  <w:style w:type="character" w:styleId="ImportTok" w:customStyle="1">
    <w:name w:val="ImportTok"/>
    <w:basedOn w:val="VerbatimChar"/>
    <w:qFormat/>
    <w:rPr>
      <w:rFonts w:ascii="Consolas" w:hAnsi="Consolas"/>
      <w:b/>
      <w:color w:val="008000"/>
      <w:sz w:val="22"/>
    </w:rPr>
  </w:style>
  <w:style w:type="character" w:styleId="CommentTok" w:customStyle="1">
    <w:name w:val="CommentTok"/>
    <w:basedOn w:val="VerbatimChar"/>
    <w:qFormat/>
    <w:rPr>
      <w:rFonts w:ascii="Consolas" w:hAnsi="Consolas"/>
      <w:i/>
      <w:color w:val="60A0B0"/>
      <w:sz w:val="22"/>
    </w:rPr>
  </w:style>
  <w:style w:type="character" w:styleId="DocumentationTok" w:customStyle="1">
    <w:name w:val="DocumentationTok"/>
    <w:basedOn w:val="VerbatimChar"/>
    <w:qFormat/>
    <w:rPr>
      <w:rFonts w:ascii="Consolas" w:hAnsi="Consolas"/>
      <w:i/>
      <w:color w:val="BA2121"/>
      <w:sz w:val="22"/>
    </w:rPr>
  </w:style>
  <w:style w:type="character" w:styleId="AnnotationTok" w:customStyle="1">
    <w:name w:val="AnnotationTok"/>
    <w:basedOn w:val="VerbatimChar"/>
    <w:qFormat/>
    <w:rPr>
      <w:rFonts w:ascii="Consolas" w:hAnsi="Consolas"/>
      <w:b/>
      <w:i/>
      <w:color w:val="60A0B0"/>
      <w:sz w:val="22"/>
    </w:rPr>
  </w:style>
  <w:style w:type="character" w:styleId="CommentVarTok" w:customStyle="1">
    <w:name w:val="CommentVarTok"/>
    <w:basedOn w:val="VerbatimChar"/>
    <w:qFormat/>
    <w:rPr>
      <w:rFonts w:ascii="Consolas" w:hAnsi="Consolas"/>
      <w:b/>
      <w:i/>
      <w:color w:val="60A0B0"/>
      <w:sz w:val="22"/>
    </w:rPr>
  </w:style>
  <w:style w:type="character" w:styleId="OtherTok" w:customStyle="1">
    <w:name w:val="OtherTok"/>
    <w:basedOn w:val="VerbatimChar"/>
    <w:qFormat/>
    <w:rPr>
      <w:rFonts w:ascii="Consolas" w:hAnsi="Consolas"/>
      <w:color w:val="007020"/>
      <w:sz w:val="22"/>
    </w:rPr>
  </w:style>
  <w:style w:type="character" w:styleId="FunctionTok" w:customStyle="1">
    <w:name w:val="FunctionTok"/>
    <w:basedOn w:val="VerbatimChar"/>
    <w:qFormat/>
    <w:rPr>
      <w:rFonts w:ascii="Consolas" w:hAnsi="Consolas"/>
      <w:color w:val="06287E"/>
      <w:sz w:val="22"/>
    </w:rPr>
  </w:style>
  <w:style w:type="character" w:styleId="VariableTok" w:customStyle="1">
    <w:name w:val="VariableTok"/>
    <w:basedOn w:val="VerbatimChar"/>
    <w:qFormat/>
    <w:rPr>
      <w:rFonts w:ascii="Consolas" w:hAnsi="Consolas"/>
      <w:color w:val="19177C"/>
      <w:sz w:val="22"/>
    </w:rPr>
  </w:style>
  <w:style w:type="character" w:styleId="ControlFlowTok" w:customStyle="1">
    <w:name w:val="ControlFlowTok"/>
    <w:basedOn w:val="VerbatimChar"/>
    <w:qFormat/>
    <w:rPr>
      <w:rFonts w:ascii="Consolas" w:hAnsi="Consolas"/>
      <w:b/>
      <w:color w:val="007020"/>
      <w:sz w:val="22"/>
    </w:rPr>
  </w:style>
  <w:style w:type="character" w:styleId="OperatorTok" w:customStyle="1">
    <w:name w:val="OperatorTok"/>
    <w:basedOn w:val="VerbatimChar"/>
    <w:qFormat/>
    <w:rPr>
      <w:rFonts w:ascii="Consolas" w:hAnsi="Consolas"/>
      <w:color w:val="666666"/>
      <w:sz w:val="22"/>
    </w:rPr>
  </w:style>
  <w:style w:type="character" w:styleId="BuiltInTok" w:customStyle="1">
    <w:name w:val="BuiltInTok"/>
    <w:basedOn w:val="VerbatimChar"/>
    <w:qFormat/>
    <w:rPr>
      <w:rFonts w:ascii="Consolas" w:hAnsi="Consolas"/>
      <w:color w:val="008000"/>
      <w:sz w:val="22"/>
    </w:rPr>
  </w:style>
  <w:style w:type="character" w:styleId="ExtensionTok" w:customStyle="1">
    <w:name w:val="ExtensionTok"/>
    <w:basedOn w:val="VerbatimChar"/>
    <w:qFormat/>
    <w:rPr>
      <w:rFonts w:ascii="Consolas" w:hAnsi="Consolas"/>
      <w:sz w:val="22"/>
    </w:rPr>
  </w:style>
  <w:style w:type="character" w:styleId="PreprocessorTok" w:customStyle="1">
    <w:name w:val="PreprocessorTok"/>
    <w:basedOn w:val="VerbatimChar"/>
    <w:qFormat/>
    <w:rPr>
      <w:rFonts w:ascii="Consolas" w:hAnsi="Consolas"/>
      <w:color w:val="BC7A00"/>
      <w:sz w:val="22"/>
    </w:rPr>
  </w:style>
  <w:style w:type="character" w:styleId="AttributeTok" w:customStyle="1">
    <w:name w:val="AttributeTok"/>
    <w:basedOn w:val="VerbatimChar"/>
    <w:qFormat/>
    <w:rPr>
      <w:rFonts w:ascii="Consolas" w:hAnsi="Consolas"/>
      <w:color w:val="7D9029"/>
      <w:sz w:val="22"/>
    </w:rPr>
  </w:style>
  <w:style w:type="character" w:styleId="RegionMarkerTok" w:customStyle="1">
    <w:name w:val="RegionMarkerTok"/>
    <w:basedOn w:val="VerbatimChar"/>
    <w:qFormat/>
    <w:rPr>
      <w:rFonts w:ascii="Consolas" w:hAnsi="Consolas"/>
      <w:sz w:val="22"/>
    </w:rPr>
  </w:style>
  <w:style w:type="character" w:styleId="InformationTok" w:customStyle="1">
    <w:name w:val="InformationTok"/>
    <w:basedOn w:val="VerbatimChar"/>
    <w:qFormat/>
    <w:rPr>
      <w:rFonts w:ascii="Consolas" w:hAnsi="Consolas"/>
      <w:b/>
      <w:i/>
      <w:color w:val="60A0B0"/>
      <w:sz w:val="22"/>
    </w:rPr>
  </w:style>
  <w:style w:type="character" w:styleId="WarningTok" w:customStyle="1">
    <w:name w:val="WarningTok"/>
    <w:basedOn w:val="VerbatimChar"/>
    <w:qFormat/>
    <w:rPr>
      <w:rFonts w:ascii="Consolas" w:hAnsi="Consolas"/>
      <w:b/>
      <w:i/>
      <w:color w:val="60A0B0"/>
      <w:sz w:val="22"/>
    </w:rPr>
  </w:style>
  <w:style w:type="character" w:styleId="AlertTok" w:customStyle="1">
    <w:name w:val="AlertTok"/>
    <w:basedOn w:val="VerbatimChar"/>
    <w:qFormat/>
    <w:rPr>
      <w:rFonts w:ascii="Consolas" w:hAnsi="Consolas"/>
      <w:b/>
      <w:color w:val="FF0000"/>
      <w:sz w:val="22"/>
    </w:rPr>
  </w:style>
  <w:style w:type="character" w:styleId="ErrorTok" w:customStyle="1">
    <w:name w:val="ErrorTok"/>
    <w:basedOn w:val="VerbatimChar"/>
    <w:qFormat/>
    <w:rPr>
      <w:rFonts w:ascii="Consolas" w:hAnsi="Consolas"/>
      <w:b/>
      <w:color w:val="FF0000"/>
      <w:sz w:val="22"/>
    </w:rPr>
  </w:style>
  <w:style w:type="character" w:styleId="NormalTok" w:customStyle="1">
    <w:name w:val="NormalTok"/>
    <w:basedOn w:val="VerbatimChar"/>
    <w:qFormat/>
    <w:rPr>
      <w:rFonts w:ascii="Consolas" w:hAnsi="Consolas"/>
      <w:sz w:val="22"/>
    </w:rPr>
  </w:style>
  <w:style w:type="paragraph" w:styleId="Titre">
    <w:name w:val="Titre"/>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qFormat/>
    <w:pPr>
      <w:spacing w:before="180" w:after="180"/>
    </w:pPr>
    <w:rPr/>
  </w:style>
  <w:style w:type="paragraph" w:styleId="List">
    <w:name w:val="List"/>
    <w:basedOn w:val="BodyText"/>
    <w:pPr/>
    <w:rPr>
      <w:rFonts w:cs="Noto Sans"/>
    </w:rPr>
  </w:style>
  <w:style w:type="paragraph" w:styleId="Caption">
    <w:name w:val="Caption"/>
    <w:basedOn w:val="Normal"/>
    <w:link w:val="LgendeCar"/>
    <w:qFormat/>
    <w:pPr>
      <w:spacing w:before="0" w:after="120"/>
    </w:pPr>
    <w:rPr>
      <w:i/>
    </w:rPr>
  </w:style>
  <w:style w:type="paragraph" w:styleId="Index">
    <w:name w:val="Index"/>
    <w:basedOn w:val="Normal"/>
    <w:qFormat/>
    <w:pPr>
      <w:suppressLineNumbers/>
    </w:pPr>
    <w:rPr>
      <w:rFonts w:cs="Noto Sans"/>
    </w:rPr>
  </w:style>
  <w:style w:type="paragraph" w:styleId="FirstParagraph" w:customStyle="1">
    <w:name w:val="First Paragraph"/>
    <w:basedOn w:val="BodyText"/>
    <w:next w:val="BodyText"/>
    <w:qFormat/>
    <w:pPr/>
    <w:rPr/>
  </w:style>
  <w:style w:type="paragraph" w:styleId="Compact" w:customStyle="1">
    <w:name w:val="Compact"/>
    <w:basedOn w:val="BodyText"/>
    <w:qFormat/>
    <w:pPr>
      <w:spacing w:before="36" w:after="36"/>
    </w:pPr>
    <w:rPr/>
  </w:style>
  <w:style w:type="paragraph" w:styleId="Title">
    <w:name w:val="Title"/>
    <w:basedOn w:val="Normal"/>
    <w:next w:val="BodyText"/>
    <w:qFormat/>
    <w:pPr>
      <w:keepNext w:val="true"/>
      <w:keepLines/>
      <w:spacing w:before="480" w:after="240"/>
      <w:jc w:val="center"/>
    </w:pPr>
    <w:rPr>
      <w:rFonts w:ascii="Calibri" w:hAnsi="Calibri" w:eastAsia="" w:cs="" w:asciiTheme="majorHAnsi" w:cstheme="majorBidi" w:eastAsiaTheme="majorEastAsia" w:hAnsiTheme="majorHAnsi"/>
      <w:b/>
      <w:bCs/>
      <w:color w:themeColor="accent1" w:themeShade="b5" w:val="345A8A"/>
      <w:sz w:val="36"/>
      <w:szCs w:val="36"/>
    </w:rPr>
  </w:style>
  <w:style w:type="paragraph" w:styleId="Subtitle">
    <w:name w:val="Subtitle"/>
    <w:basedOn w:val="Title"/>
    <w:next w:val="BodyText"/>
    <w:qFormat/>
    <w:pPr>
      <w:spacing w:before="240" w:after="240"/>
    </w:pPr>
    <w:rPr>
      <w:sz w:val="30"/>
      <w:szCs w:val="30"/>
    </w:rPr>
  </w:style>
  <w:style w:type="paragraph" w:styleId="Author" w:customStyle="1">
    <w:name w:val="Author"/>
    <w:next w:val="BodyText"/>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Date">
    <w:name w:val="Date"/>
    <w:next w:val="BodyText"/>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AbstractTitle" w:customStyle="1">
    <w:name w:val="Abstract Title"/>
    <w:basedOn w:val="Normal"/>
    <w:next w:val="Abstract"/>
    <w:qFormat/>
    <w:pPr>
      <w:keepNext w:val="true"/>
      <w:keepLines/>
      <w:spacing w:before="300" w:after="0"/>
      <w:jc w:val="center"/>
    </w:pPr>
    <w:rPr>
      <w:b/>
      <w:color w:val="345A8A"/>
      <w:sz w:val="20"/>
      <w:szCs w:val="20"/>
    </w:rPr>
  </w:style>
  <w:style w:type="paragraph" w:styleId="Abstract" w:customStyle="1">
    <w:name w:val="Abstract"/>
    <w:basedOn w:val="Normal"/>
    <w:next w:val="BodyText"/>
    <w:qFormat/>
    <w:pPr>
      <w:keepNext w:val="true"/>
      <w:keepLines/>
      <w:spacing w:before="100" w:after="300"/>
    </w:pPr>
    <w:rPr>
      <w:sz w:val="20"/>
      <w:szCs w:val="20"/>
    </w:rPr>
  </w:style>
  <w:style w:type="paragraph" w:styleId="Bibliography">
    <w:name w:val="Bibliography"/>
    <w:basedOn w:val="Normal"/>
    <w:qFormat/>
    <w:pPr/>
    <w:rPr/>
  </w:style>
  <w:style w:type="paragraph" w:styleId="BlockText">
    <w:name w:val="Block Text"/>
    <w:basedOn w:val="BodyText"/>
    <w:next w:val="BodyText"/>
    <w:uiPriority w:val="9"/>
    <w:unhideWhenUsed/>
    <w:qFormat/>
    <w:pPr>
      <w:spacing w:before="100" w:after="100"/>
      <w:ind w:left="480" w:right="480"/>
    </w:pPr>
    <w:rPr/>
  </w:style>
  <w:style w:type="paragraph" w:styleId="FootnoteText">
    <w:name w:val="Footnote Text"/>
    <w:basedOn w:val="Normal"/>
    <w:uiPriority w:val="9"/>
    <w:unhideWhenUsed/>
    <w:qFormat/>
    <w:pPr/>
    <w:rPr/>
  </w:style>
  <w:style w:type="paragraph" w:styleId="FootnoteBlockText" w:customStyle="1">
    <w:name w:val="Footnote Block Text"/>
    <w:uiPriority w:val="9"/>
    <w:unhideWhenUsed/>
    <w:qFormat/>
    <w:pPr>
      <w:widowControl/>
      <w:bidi w:val="0"/>
      <w:spacing w:before="100" w:after="100"/>
      <w:ind w:left="480" w:right="480"/>
      <w:jc w:val="left"/>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DefinitionTerm" w:customStyle="1">
    <w:name w:val="Definition Term"/>
    <w:basedOn w:val="Normal"/>
    <w:next w:val="Definition"/>
    <w:qFormat/>
    <w:pPr>
      <w:keepNext w:val="true"/>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val="true"/>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CaptionedFigure" w:customStyle="1">
    <w:name w:val="Captioned Figure"/>
    <w:basedOn w:val="Figure"/>
    <w:qFormat/>
    <w:pPr>
      <w:keepNext w:val="true"/>
    </w:pPr>
    <w:rPr/>
  </w:style>
  <w:style w:type="paragraph" w:styleId="IndexHeading">
    <w:name w:val="Index Heading"/>
    <w:basedOn w:val="Titre"/>
    <w:pPr/>
    <w:rPr/>
  </w:style>
  <w:style w:type="paragraph" w:styleId="TOCHeading">
    <w:name w:val="TOC Heading"/>
    <w:basedOn w:val="Heading1"/>
    <w:next w:val="BodyText"/>
    <w:uiPriority w:val="39"/>
    <w:unhideWhenUsed/>
    <w:qFormat/>
    <w:pPr>
      <w:spacing w:lineRule="auto" w:line="259" w:before="240" w:after="0"/>
      <w:outlineLvl w:val="9"/>
    </w:pPr>
    <w:rPr>
      <w:b w:val="false"/>
      <w:bCs w:val="false"/>
      <w:color w:themeColor="accent1" w:themeShade="bf" w:val="365F91"/>
    </w:rPr>
  </w:style>
  <w:style w:type="paragraph" w:styleId="SourceCode" w:customStyle="1">
    <w:name w:val="Source Code"/>
    <w:basedOn w:val="Normal"/>
    <w:link w:val="VerbatimChar"/>
    <w:qFormat/>
    <w:pPr/>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color="auto" w:sz="0" w:space="0"/>
        </w:tcBorders>
        <w:vAlign w:val="bottom"/>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Collabora_Office/24.04.13.3$Linux_X86_64 LibreOffice_project/cdcd03782bd25d2386546eda84b673742c8c8916</Application>
  <AppVersion>15.0000</AppVersion>
  <DocSecurity>4</DocSecurity>
  <Pages>2</Pages>
  <Words>1758</Words>
  <Characters>10373</Characters>
  <CharactersWithSpaces>12099</CharactersWithSpaces>
  <Paragraphs>32</Paragraphs>
  <Company>Academie Grand Est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2025-05-14T08:01:00Z</dcterms:created>
  <dc:creator>Anne Steimer</dc:creator>
  <dc:description/>
  <dc:language>fr-FR</dc:language>
  <cp:lastModifiedBy>Anne Steimer</cp:lastModifiedBy>
  <dcterms:modified xsi:type="dcterms:W3CDTF">2025-05-14T08:01:00Z</dcterms:modified>
  <cp:revision>2</cp:revision>
  <dc:subject/>
  <dc:title>Recensement des formations destinées aux IATSS en accès libre sur M@gistère 1</dc:title>
</cp:coreProperties>
</file>

<file path=docProps/custom.xml><?xml version="1.0" encoding="utf-8"?>
<Properties xmlns="http://schemas.openxmlformats.org/officeDocument/2006/custom-properties" xmlns:vt="http://schemas.openxmlformats.org/officeDocument/2006/docPropsVTypes"/>
</file>