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1B" w:rsidRPr="0069791B" w:rsidRDefault="0069791B" w:rsidP="0069791B">
      <w:pPr>
        <w:pStyle w:val="Style1"/>
      </w:pPr>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395CA7" w:rsidP="0069791B">
      <w:pPr>
        <w:widowControl w:val="0"/>
        <w:spacing w:after="0" w:line="240" w:lineRule="auto"/>
        <w:ind w:firstLine="33"/>
        <w:rPr>
          <w:rFonts w:eastAsia="MS Mincho" w:cs="Calibri"/>
          <w:sz w:val="20"/>
        </w:rPr>
      </w:pPr>
      <w:r w:rsidRPr="00395CA7">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395CA7" w:rsidP="0069791B">
      <w:pPr>
        <w:widowControl w:val="0"/>
        <w:spacing w:after="0" w:line="240" w:lineRule="auto"/>
        <w:ind w:firstLine="33"/>
        <w:rPr>
          <w:rFonts w:eastAsia="MS Mincho" w:cs="Calibri"/>
          <w:sz w:val="20"/>
        </w:rPr>
      </w:pPr>
      <w:r w:rsidRPr="00395CA7">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395CA7" w:rsidP="0069791B">
      <w:pPr>
        <w:widowControl w:val="0"/>
        <w:spacing w:after="0" w:line="240" w:lineRule="auto"/>
        <w:rPr>
          <w:rFonts w:eastAsia="MS Mincho" w:cs="Calibri"/>
          <w:b/>
          <w:sz w:val="20"/>
        </w:rPr>
      </w:pPr>
      <w:hyperlink r:id="rId8"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395CA7"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395CA7"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0" w:name="_Toc430177044"/>
      <w:r>
        <w:br w:type="page"/>
      </w:r>
      <w:r w:rsidRPr="00DD7C01">
        <w:lastRenderedPageBreak/>
        <w:t>Volet 1 : Les spécificités du cycle des apprentissages fondamentaux (cycle 2)</w:t>
      </w:r>
      <w:bookmarkEnd w:id="0"/>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1" w:name="_Toc416167907"/>
      <w:bookmarkStart w:id="2" w:name="_Toc416272069"/>
      <w:bookmarkStart w:id="3" w:name="_Toc430177045"/>
      <w:r w:rsidRPr="002E1907">
        <w:lastRenderedPageBreak/>
        <w:t>Volet 2 : Contributions essentielles des différents enseignements au socle commun</w:t>
      </w:r>
      <w:bookmarkEnd w:id="1"/>
      <w:bookmarkEnd w:id="2"/>
      <w:bookmarkEnd w:id="3"/>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4" w:name="_Toc415069127"/>
      <w:bookmarkStart w:id="5" w:name="_Toc416272070"/>
      <w:bookmarkStart w:id="6" w:name="_Toc283824217"/>
      <w:r>
        <w:br w:type="page"/>
      </w:r>
      <w:bookmarkStart w:id="7" w:name="_Toc430177046"/>
      <w:r w:rsidRPr="008F7B6E">
        <w:rPr>
          <w:sz w:val="32"/>
          <w:szCs w:val="32"/>
        </w:rPr>
        <w:lastRenderedPageBreak/>
        <w:t>Volet 3</w:t>
      </w:r>
      <w:bookmarkEnd w:id="7"/>
      <w:r>
        <w:rPr>
          <w:sz w:val="32"/>
          <w:szCs w:val="32"/>
        </w:rPr>
        <w:t> : les enseignements</w:t>
      </w:r>
    </w:p>
    <w:p w:rsidR="009976E5" w:rsidRPr="00223414" w:rsidRDefault="009976E5" w:rsidP="009976E5">
      <w:pPr>
        <w:spacing w:after="0" w:line="240" w:lineRule="auto"/>
        <w:rPr>
          <w:b/>
          <w:color w:val="31849B"/>
          <w:sz w:val="28"/>
          <w:szCs w:val="28"/>
        </w:rPr>
      </w:pPr>
      <w:bookmarkStart w:id="8" w:name="_Toc430177047"/>
      <w:r w:rsidRPr="00223414">
        <w:rPr>
          <w:b/>
          <w:color w:val="31849B"/>
          <w:sz w:val="28"/>
          <w:szCs w:val="28"/>
        </w:rPr>
        <w:t>F</w:t>
      </w:r>
      <w:bookmarkEnd w:id="4"/>
      <w:bookmarkEnd w:id="5"/>
      <w:bookmarkEnd w:id="8"/>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Enregistrement et écoute ou visionnement de sa </w:t>
            </w:r>
            <w:r w:rsidRPr="003B72A0">
              <w:rPr>
                <w:rFonts w:cs="Calibri"/>
                <w:sz w:val="20"/>
                <w:szCs w:val="20"/>
              </w:rPr>
              <w:lastRenderedPageBreak/>
              <w:t>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 la démarche permettant de </w:t>
            </w:r>
            <w:r w:rsidRPr="003B72A0">
              <w:rPr>
                <w:rFonts w:cs="Calibri"/>
                <w:sz w:val="20"/>
                <w:szCs w:val="20"/>
              </w:rPr>
              <w:lastRenderedPageBreak/>
              <w:t>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xml:space="preserve">- lecture fonctionnelle, notamment avec les écrits scolaires : emploi du temps, consignes, énoncés de </w:t>
            </w:r>
            <w:r w:rsidRPr="003B72A0">
              <w:rPr>
                <w:rFonts w:cs="Calibri"/>
                <w:sz w:val="20"/>
                <w:szCs w:val="20"/>
              </w:rPr>
              <w:lastRenderedPageBreak/>
              <w:t>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w:t>
            </w:r>
            <w:r w:rsidRPr="003B72A0">
              <w:rPr>
                <w:rFonts w:cs="Calibri"/>
                <w:sz w:val="20"/>
                <w:szCs w:val="20"/>
              </w:rPr>
              <w:lastRenderedPageBreak/>
              <w:t>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w:t>
            </w:r>
            <w:r w:rsidRPr="003B72A0">
              <w:rPr>
                <w:rFonts w:cs="Calibri"/>
                <w:sz w:val="20"/>
                <w:szCs w:val="20"/>
              </w:rPr>
              <w:lastRenderedPageBreak/>
              <w:t>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w:t>
            </w:r>
            <w:r w:rsidRPr="003B72A0">
              <w:rPr>
                <w:rFonts w:cs="Calibri"/>
                <w:sz w:val="20"/>
                <w:szCs w:val="20"/>
              </w:rPr>
              <w:lastRenderedPageBreak/>
              <w:t xml:space="preserve">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w:t>
            </w:r>
            <w:r w:rsidRPr="003B72A0">
              <w:rPr>
                <w:rFonts w:cs="Calibri"/>
                <w:bCs/>
                <w:sz w:val="20"/>
                <w:szCs w:val="20"/>
              </w:rPr>
              <w:lastRenderedPageBreak/>
              <w:t>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9" w:name="_Toc430177048"/>
      <w:bookmarkEnd w:id="6"/>
      <w:r>
        <w:br w:type="page"/>
      </w:r>
      <w:r>
        <w:lastRenderedPageBreak/>
        <w:t>Langues vivantes</w:t>
      </w:r>
      <w:r w:rsidRPr="0021588D">
        <w:t xml:space="preserve"> (étrangères ou régionales)</w:t>
      </w:r>
      <w:bookmarkEnd w:id="9"/>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0" w:name="_Toc283824233"/>
      <w:r w:rsidRPr="003B72A0">
        <w:rPr>
          <w:rFonts w:cs="Calibri"/>
          <w:sz w:val="20"/>
          <w:szCs w:val="20"/>
        </w:rPr>
        <w:t>ciable de celui sur la culture.</w:t>
      </w:r>
      <w:bookmarkStart w:id="11"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0"/>
      <w:bookmarkEnd w:id="11"/>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2" w:name="_Toc283824234"/>
      <w:bookmarkStart w:id="13"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2"/>
      <w:bookmarkEnd w:id="13"/>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4" w:name="_Toc283824235"/>
      <w:bookmarkStart w:id="15"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4"/>
      <w:bookmarkEnd w:id="15"/>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w:t>
            </w:r>
            <w:r w:rsidRPr="003B72A0">
              <w:rPr>
                <w:rFonts w:eastAsia="Times" w:cs="Calibri"/>
                <w:sz w:val="20"/>
                <w:szCs w:val="20"/>
              </w:rPr>
              <w:lastRenderedPageBreak/>
              <w:t>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6" w:name="_Toc283824236"/>
      <w:bookmarkStart w:id="17" w:name="_Toc417302570"/>
    </w:p>
    <w:bookmarkEnd w:id="16"/>
    <w:bookmarkEnd w:id="17"/>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8" w:name="_Toc416167920"/>
      <w:bookmarkStart w:id="19" w:name="_Toc416272087"/>
      <w:bookmarkStart w:id="20" w:name="_Toc430177049"/>
      <w:r w:rsidRPr="0021588D">
        <w:lastRenderedPageBreak/>
        <w:t>E</w:t>
      </w:r>
      <w:bookmarkEnd w:id="18"/>
      <w:bookmarkEnd w:id="19"/>
      <w:bookmarkEnd w:id="20"/>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1"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 xml:space="preserve">Mener à terme une production individuelle dans le cadre d’un projet accompagné par le </w:t>
            </w:r>
            <w:r w:rsidRPr="003B72A0">
              <w:rPr>
                <w:sz w:val="20"/>
                <w:szCs w:val="20"/>
              </w:rPr>
              <w:lastRenderedPageBreak/>
              <w:t>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lastRenderedPageBreak/>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lastRenderedPageBreak/>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1"/>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2" w:name="_Toc428547125"/>
      <w:bookmarkStart w:id="23" w:name="_Toc430177050"/>
      <w:bookmarkStart w:id="24" w:name="_Toc428547126"/>
      <w:r w:rsidRPr="00447B8C">
        <w:rPr>
          <w:b/>
          <w:color w:val="31849B"/>
          <w:sz w:val="32"/>
          <w:szCs w:val="32"/>
        </w:rPr>
        <w:lastRenderedPageBreak/>
        <w:t>É</w:t>
      </w:r>
      <w:bookmarkEnd w:id="22"/>
      <w:bookmarkEnd w:id="23"/>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Accepter et prendre en considération toutes les différences interindividuelles au sein d’un </w:t>
            </w:r>
            <w:r w:rsidRPr="00C52B7E">
              <w:rPr>
                <w:rFonts w:cs="Calibri"/>
                <w:sz w:val="20"/>
                <w:szCs w:val="20"/>
              </w:rPr>
              <w:lastRenderedPageBreak/>
              <w:t>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sidR="00BF220C">
              <w:rPr>
                <w:rFonts w:eastAsia="Times" w:cs="Calibri"/>
                <w:sz w:val="20"/>
                <w:szCs w:val="20"/>
              </w:rPr>
              <w:t>jambes</w:t>
            </w:r>
            <w:r w:rsidR="00BF220C" w:rsidRPr="005E5376">
              <w:rPr>
                <w:rFonts w:eastAsia="Times" w:cs="Calibri"/>
                <w:sz w:val="20"/>
                <w:szCs w:val="20"/>
              </w:rPr>
              <w:t xml:space="preserve"> </w:t>
            </w:r>
            <w:r w:rsidR="009976E5" w:rsidRPr="005E5376">
              <w:rPr>
                <w:rFonts w:eastAsia="Times" w:cs="Calibri"/>
                <w:sz w:val="20"/>
                <w:szCs w:val="20"/>
              </w:rPr>
              <w:t xml:space="preserve">à une propulsion essentiellement basée sur les </w:t>
            </w:r>
            <w:r w:rsidR="00BF220C">
              <w:rPr>
                <w:rFonts w:eastAsia="Times" w:cs="Calibri"/>
                <w:sz w:val="20"/>
                <w:szCs w:val="20"/>
              </w:rPr>
              <w:t>bras</w:t>
            </w:r>
            <w:bookmarkStart w:id="25" w:name="_GoBack"/>
            <w:bookmarkEnd w:id="25"/>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w:t>
            </w:r>
            <w:r w:rsidRPr="00C52B7E">
              <w:rPr>
                <w:rFonts w:eastAsia="Times" w:cs="Calibri"/>
                <w:sz w:val="20"/>
                <w:szCs w:val="20"/>
              </w:rPr>
              <w:lastRenderedPageBreak/>
              <w:t xml:space="preserve">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lastRenderedPageBreak/>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4"/>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 xml:space="preserve">Constituants et fonctionnement d’un circuit électrique </w:t>
            </w:r>
            <w:r w:rsidRPr="003B72A0">
              <w:rPr>
                <w:rFonts w:cs="Calibri"/>
                <w:color w:val="000000"/>
                <w:sz w:val="20"/>
                <w:szCs w:val="20"/>
              </w:rPr>
              <w:lastRenderedPageBreak/>
              <w:t>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lastRenderedPageBreak/>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lastRenderedPageBreak/>
              <w:t xml:space="preserve">Photographies paysagères, de terrain, vues aériennes, globe terrestre, </w:t>
            </w:r>
            <w:r w:rsidRPr="003B72A0">
              <w:rPr>
                <w:rFonts w:eastAsia="Times" w:cs="Calibri"/>
                <w:sz w:val="20"/>
                <w:szCs w:val="20"/>
              </w:rPr>
              <w:lastRenderedPageBreak/>
              <w:t>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lastRenderedPageBreak/>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lastRenderedPageBreak/>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lastRenderedPageBreak/>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Dans des cas simples, représenter une grandeur par une longueur, notamment sur </w:t>
            </w:r>
            <w:r w:rsidRPr="00363555">
              <w:rPr>
                <w:rFonts w:cs="Calibri"/>
                <w:sz w:val="20"/>
                <w:szCs w:val="20"/>
              </w:rPr>
              <w:lastRenderedPageBreak/>
              <w:t>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w:t>
            </w:r>
            <w:r w:rsidRPr="00363555">
              <w:rPr>
                <w:rFonts w:cs="Calibri"/>
                <w:sz w:val="20"/>
                <w:szCs w:val="20"/>
              </w:rPr>
              <w:lastRenderedPageBreak/>
              <w:t>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w:t>
      </w:r>
      <w:r w:rsidRPr="003B72A0">
        <w:rPr>
          <w:rFonts w:eastAsia="MS Mincho"/>
          <w:sz w:val="20"/>
          <w:szCs w:val="20"/>
        </w:rPr>
        <w:lastRenderedPageBreak/>
        <w:t xml:space="preserve">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lastRenderedPageBreak/>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lastRenderedPageBreak/>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lastRenderedPageBreak/>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1"/>
          <w:footerReference w:type="default" r:id="rId12"/>
          <w:headerReference w:type="first" r:id="rId13"/>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4"/>
          <w:headerReference w:type="default" r:id="rId15"/>
          <w:footerReference w:type="even" r:id="rId16"/>
          <w:footerReference w:type="default" r:id="rId17"/>
          <w:headerReference w:type="first" r:id="rId18"/>
          <w:footerReference w:type="first" r:id="rId19"/>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lastRenderedPageBreak/>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lastRenderedPageBreak/>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w:t>
      </w:r>
      <w:r w:rsidRPr="00657C7A">
        <w:rPr>
          <w:rFonts w:cs="Calibri"/>
          <w:sz w:val="20"/>
          <w:szCs w:val="20"/>
          <w:lang w:eastAsia="zh-CN" w:bidi="hi-IN"/>
        </w:rPr>
        <w:lastRenderedPageBreak/>
        <w:t>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w:t>
            </w:r>
            <w:r w:rsidRPr="00E81BF8">
              <w:rPr>
                <w:rFonts w:eastAsia="Arial Unicode MS" w:cs="Arial"/>
                <w:iCs/>
                <w:color w:val="000000"/>
                <w:sz w:val="20"/>
                <w:szCs w:val="20"/>
                <w:u w:color="000000"/>
                <w:bdr w:val="nil"/>
                <w:lang w:eastAsia="fr-FR"/>
              </w:rPr>
              <w:lastRenderedPageBreak/>
              <w:t>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xml:space="preserve">. Par ailleurs, la </w:t>
      </w:r>
      <w:r w:rsidRPr="000D2390">
        <w:rPr>
          <w:rFonts w:ascii="Calibri" w:eastAsia="Cambria" w:hAnsi="Calibri" w:cs="Calibri"/>
          <w:color w:val="auto"/>
          <w:sz w:val="20"/>
          <w:szCs w:val="20"/>
        </w:rPr>
        <w:lastRenderedPageBreak/>
        <w:t>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Propositions et réalisations d’apports </w:t>
            </w:r>
            <w:r w:rsidRPr="00FB7DF3">
              <w:rPr>
                <w:rFonts w:cs="Calibri"/>
                <w:sz w:val="20"/>
                <w:szCs w:val="20"/>
              </w:rPr>
              <w:lastRenderedPageBreak/>
              <w:t>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Décrire une œuvre en identifiant ses principales caractéristiques techniques et formelles à l’aide d’un lexique simple </w:t>
            </w:r>
            <w:r w:rsidRPr="00116990">
              <w:rPr>
                <w:rFonts w:eastAsia="Times New Roman" w:cs="Calibri"/>
                <w:bCs/>
                <w:sz w:val="20"/>
                <w:szCs w:val="20"/>
                <w:lang w:eastAsia="fr-FR"/>
              </w:rPr>
              <w:lastRenderedPageBreak/>
              <w:t>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w:t>
      </w:r>
      <w:r w:rsidRPr="00232F1D">
        <w:rPr>
          <w:rFonts w:cs="Calibri"/>
          <w:bCs/>
          <w:sz w:val="20"/>
          <w:szCs w:val="20"/>
        </w:rPr>
        <w:lastRenderedPageBreak/>
        <w:t>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rPr>
      </w:pPr>
    </w:p>
    <w:p w:rsidR="0069791B" w:rsidRDefault="0069791B" w:rsidP="0069791B">
      <w:pPr>
        <w:spacing w:after="0"/>
        <w:rPr>
          <w:lang/>
        </w:rPr>
      </w:pPr>
    </w:p>
    <w:p w:rsidR="0069791B" w:rsidRDefault="0069791B" w:rsidP="0069791B">
      <w:pPr>
        <w:spacing w:after="0"/>
        <w:rPr>
          <w:lang/>
        </w:rPr>
      </w:pPr>
    </w:p>
    <w:p w:rsidR="0069791B" w:rsidRDefault="0069791B" w:rsidP="0069791B">
      <w:pPr>
        <w:spacing w:after="0"/>
        <w:rPr>
          <w:lang/>
        </w:rPr>
      </w:pPr>
    </w:p>
    <w:p w:rsidR="0069791B" w:rsidRDefault="0069791B" w:rsidP="0069791B">
      <w:pPr>
        <w:spacing w:after="0"/>
        <w:rPr>
          <w:lang/>
        </w:rPr>
      </w:pPr>
    </w:p>
    <w:p w:rsidR="0069791B" w:rsidRDefault="0069791B" w:rsidP="0069791B">
      <w:pPr>
        <w:spacing w:after="0"/>
        <w:rPr>
          <w:lang/>
        </w:rPr>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rPr>
      </w:pPr>
    </w:p>
    <w:p w:rsidR="0069791B" w:rsidRDefault="0069791B" w:rsidP="0069791B">
      <w:pPr>
        <w:spacing w:after="0"/>
        <w:rPr>
          <w:b/>
          <w:color w:val="31849B"/>
          <w:sz w:val="28"/>
          <w:szCs w:val="28"/>
        </w:rPr>
      </w:pPr>
      <w:r>
        <w:rPr>
          <w:lang/>
        </w:rPr>
        <w:br w:type="page"/>
      </w:r>
      <w:bookmarkStart w:id="45" w:name="_Toc429984998"/>
      <w:r w:rsidRPr="002174FF">
        <w:rPr>
          <w:b/>
          <w:color w:val="31849B"/>
          <w:sz w:val="28"/>
          <w:szCs w:val="28"/>
        </w:rPr>
        <w:lastRenderedPageBreak/>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lastRenderedPageBreak/>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lastRenderedPageBreak/>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lastRenderedPageBreak/>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lastRenderedPageBreak/>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lastRenderedPageBreak/>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lastRenderedPageBreak/>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lastRenderedPageBreak/>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 xml:space="preserve">Réaliser des mélanges peut provoquer des transformations de la </w:t>
            </w:r>
            <w:r w:rsidRPr="003E5240">
              <w:rPr>
                <w:rFonts w:cs="Calibri"/>
                <w:sz w:val="20"/>
                <w:szCs w:val="20"/>
              </w:rPr>
              <w:lastRenderedPageBreak/>
              <w:t>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lastRenderedPageBreak/>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280402">
        <w:tblPrEx>
          <w:tblLook w:val="04A0"/>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lastRenderedPageBreak/>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w:t>
            </w:r>
            <w:r w:rsidRPr="003E5240">
              <w:rPr>
                <w:rFonts w:cs="Calibri"/>
                <w:sz w:val="20"/>
                <w:szCs w:val="20"/>
              </w:rPr>
              <w:lastRenderedPageBreak/>
              <w:t>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lastRenderedPageBreak/>
              <w:t>Identifier un signal et une information</w:t>
            </w:r>
          </w:p>
        </w:tc>
      </w:tr>
      <w:tr w:rsidR="0069791B" w:rsidRPr="003E5240" w:rsidTr="00280402">
        <w:tblPrEx>
          <w:tblLook w:val="04A0"/>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w:t>
            </w:r>
            <w:r w:rsidRPr="003E5240">
              <w:rPr>
                <w:rFonts w:cs="Calibri"/>
              </w:rPr>
              <w:lastRenderedPageBreak/>
              <w:t xml:space="preserve">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 xml:space="preserve">Quelques techniques permettant d’éviter la prolifération des </w:t>
            </w:r>
            <w:r w:rsidRPr="003E5240">
              <w:rPr>
                <w:rFonts w:cs="Calibri"/>
                <w:szCs w:val="20"/>
              </w:rPr>
              <w:lastRenderedPageBreak/>
              <w:t>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lastRenderedPageBreak/>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280402">
        <w:tblPrEx>
          <w:tblLook w:val="04A0"/>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w:t>
            </w:r>
            <w:r w:rsidRPr="003E5240">
              <w:rPr>
                <w:rFonts w:cs="Calibri"/>
                <w:szCs w:val="20"/>
              </w:rPr>
              <w:lastRenderedPageBreak/>
              <w:t>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lastRenderedPageBreak/>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 xml:space="preserve">Résoudre des problèmes nécessitant l’organisation de données multiples ou la construction d’une </w:t>
            </w:r>
            <w:r w:rsidRPr="00DA31E8">
              <w:rPr>
                <w:rFonts w:cs="Calibri"/>
                <w:sz w:val="20"/>
                <w:szCs w:val="20"/>
              </w:rPr>
              <w:lastRenderedPageBreak/>
              <w:t>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lastRenderedPageBreak/>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 xml:space="preserve">Écrire une fraction sous forme de somme d’un entier et </w:t>
            </w:r>
            <w:r w:rsidRPr="00254163">
              <w:rPr>
                <w:sz w:val="20"/>
                <w:szCs w:val="20"/>
              </w:rPr>
              <w:lastRenderedPageBreak/>
              <w:t>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lastRenderedPageBreak/>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w:t>
            </w:r>
            <w:r w:rsidRPr="00F316A8">
              <w:rPr>
                <w:rFonts w:cs="Calibri"/>
                <w:bCs/>
                <w:sz w:val="20"/>
                <w:szCs w:val="20"/>
              </w:rPr>
              <w:lastRenderedPageBreak/>
              <w:t>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d’instruments : règle graduée, équerre, </w:t>
            </w:r>
            <w:r w:rsidRPr="00F316A8">
              <w:rPr>
                <w:rFonts w:cs="Calibri"/>
                <w:sz w:val="20"/>
                <w:szCs w:val="20"/>
              </w:rPr>
              <w:lastRenderedPageBreak/>
              <w:t>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lastRenderedPageBreak/>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lastRenderedPageBreak/>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w:t>
            </w:r>
            <w:r w:rsidRPr="00E6451E">
              <w:rPr>
                <w:rFonts w:eastAsia="Times New Roman" w:cs="Calibri"/>
                <w:bCs/>
                <w:iCs/>
                <w:kern w:val="1"/>
                <w:sz w:val="20"/>
                <w:szCs w:val="20"/>
                <w:lang w:eastAsia="hi-IN" w:bidi="hi-IN"/>
              </w:rPr>
              <w:lastRenderedPageBreak/>
              <w:t xml:space="preserve">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r w:rsidRPr="00E6451E">
              <w:rPr>
                <w:rFonts w:eastAsia="Times New Roman" w:cs="Calibri"/>
                <w:bCs/>
                <w:iCs/>
                <w:kern w:val="1"/>
                <w:sz w:val="20"/>
                <w:szCs w:val="20"/>
                <w:lang w:eastAsia="hi-IN" w:bidi="hi-IN"/>
              </w:rPr>
              <w:lastRenderedPageBreak/>
              <w:t>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lastRenderedPageBreak/>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6"/>
          <w:headerReference w:type="default" r:id="rId27"/>
          <w:footerReference w:type="even" r:id="rId28"/>
          <w:footerReference w:type="default" r:id="rId29"/>
          <w:headerReference w:type="first" r:id="rId30"/>
          <w:footerReference w:type="first" r:id="rId31"/>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interdisciplinaires susceptibles de nourrir une large partie des compétences du programme comme de construire les </w:t>
      </w:r>
      <w:r w:rsidRPr="0020313E">
        <w:rPr>
          <w:rFonts w:cs="Calibri"/>
          <w:sz w:val="20"/>
          <w:szCs w:val="20"/>
        </w:rPr>
        <w:lastRenderedPageBreak/>
        <w:t>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lastRenderedPageBreak/>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lastRenderedPageBreak/>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lastRenderedPageBreak/>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395CA7"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w:t>
      </w:r>
      <w:r w:rsidRPr="00DF3D31">
        <w:rPr>
          <w:rFonts w:cs="Calibri"/>
          <w:sz w:val="20"/>
          <w:szCs w:val="20"/>
        </w:rPr>
        <w:lastRenderedPageBreak/>
        <w:t>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rsidTr="00280402">
        <w:tblPrEx>
          <w:tblLook w:val="00A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lastRenderedPageBreak/>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2"/>
      <w:headerReference w:type="first" r:id="rId33"/>
      <w:pgSz w:w="11906" w:h="16838"/>
      <w:pgMar w:top="1134" w:right="851" w:bottom="1134" w:left="794" w:header="709" w:footer="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64F" w:rsidRDefault="0067764F" w:rsidP="009976E5">
      <w:pPr>
        <w:spacing w:after="0" w:line="240" w:lineRule="auto"/>
      </w:pPr>
      <w:r>
        <w:separator/>
      </w:r>
    </w:p>
  </w:endnote>
  <w:endnote w:type="continuationSeparator" w:id="0">
    <w:p w:rsidR="0067764F" w:rsidRDefault="0067764F" w:rsidP="0099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395CA7" w:rsidP="00435082">
    <w:pPr>
      <w:pStyle w:val="Pieddepage"/>
      <w:jc w:val="right"/>
      <w:rPr>
        <w:lang w:val="fr-FR"/>
      </w:rPr>
    </w:pPr>
    <w:r>
      <w:fldChar w:fldCharType="begin"/>
    </w:r>
    <w:r w:rsidR="0069791B">
      <w:instrText>PAGE   \* MERGEFORMAT</w:instrText>
    </w:r>
    <w:r>
      <w:fldChar w:fldCharType="separate"/>
    </w:r>
    <w:r w:rsidR="00067379" w:rsidRPr="00067379">
      <w:rPr>
        <w:noProof/>
        <w:lang w:val="fr-FR"/>
      </w:rPr>
      <w:t>73</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A" w:rsidRDefault="00395CA7">
    <w:pPr>
      <w:pStyle w:val="Pieddepage"/>
      <w:jc w:val="right"/>
    </w:pPr>
    <w:r>
      <w:fldChar w:fldCharType="begin"/>
    </w:r>
    <w:r w:rsidR="0069439A">
      <w:instrText>PAGE   \* MERGEFORMAT</w:instrText>
    </w:r>
    <w:r>
      <w:fldChar w:fldCharType="separate"/>
    </w:r>
    <w:r w:rsidR="00067379">
      <w:rPr>
        <w:noProof/>
      </w:rPr>
      <w:t>230</w:t>
    </w:r>
    <w:r>
      <w:fldChar w:fldCharType="end"/>
    </w:r>
  </w:p>
  <w:p w:rsidR="0069439A" w:rsidRDefault="0069439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395CA7">
    <w:pPr>
      <w:pStyle w:val="Pieddepage"/>
      <w:jc w:val="right"/>
    </w:pPr>
    <w:r>
      <w:fldChar w:fldCharType="begin"/>
    </w:r>
    <w:r w:rsidR="0069791B">
      <w:instrText>PAGE   \* MERGEFORMAT</w:instrText>
    </w:r>
    <w:r>
      <w:fldChar w:fldCharType="separate"/>
    </w:r>
    <w:r w:rsidR="00067379" w:rsidRPr="00067379">
      <w:rPr>
        <w:noProof/>
        <w:lang w:val="fr-FR"/>
      </w:rPr>
      <w:t>77</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 w:rsidR="0069791B" w:rsidRDefault="0069791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395CA7">
    <w:pPr>
      <w:pStyle w:val="Pieddepage"/>
      <w:jc w:val="right"/>
    </w:pPr>
    <w:r>
      <w:fldChar w:fldCharType="begin"/>
    </w:r>
    <w:r w:rsidR="0069791B">
      <w:instrText xml:space="preserve"> PAGE </w:instrText>
    </w:r>
    <w:r>
      <w:fldChar w:fldCharType="separate"/>
    </w:r>
    <w:r w:rsidR="00067379">
      <w:rPr>
        <w:noProof/>
      </w:rPr>
      <w:t>153</w:t>
    </w:r>
    <w:r>
      <w:fldChar w:fldCharType="end"/>
    </w:r>
  </w:p>
  <w:p w:rsidR="0069791B" w:rsidRDefault="0069791B">
    <w:pPr>
      <w:pStyle w:val="Pieddepage"/>
    </w:pPr>
  </w:p>
  <w:p w:rsidR="0069791B" w:rsidRDefault="0069791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 w:rsidR="0069791B" w:rsidRDefault="0069791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395CA7">
    <w:pPr>
      <w:pStyle w:val="Pieddepage"/>
      <w:jc w:val="right"/>
    </w:pPr>
    <w:r>
      <w:fldChar w:fldCharType="begin"/>
    </w:r>
    <w:r w:rsidR="0069791B">
      <w:instrText xml:space="preserve"> PAGE </w:instrText>
    </w:r>
    <w:r>
      <w:fldChar w:fldCharType="separate"/>
    </w:r>
    <w:r w:rsidR="00067379">
      <w:rPr>
        <w:noProof/>
      </w:rPr>
      <w:t>161</w:t>
    </w:r>
    <w:r>
      <w:fldChar w:fldCharType="end"/>
    </w:r>
  </w:p>
  <w:p w:rsidR="0069791B" w:rsidRDefault="006979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64F" w:rsidRDefault="0067764F" w:rsidP="009976E5">
      <w:pPr>
        <w:spacing w:after="0" w:line="240" w:lineRule="auto"/>
      </w:pPr>
      <w:r>
        <w:separator/>
      </w:r>
    </w:p>
  </w:footnote>
  <w:footnote w:type="continuationSeparator" w:id="0">
    <w:p w:rsidR="0067764F" w:rsidRDefault="0067764F"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pPr>
  </w:p>
  <w:p w:rsidR="0069791B" w:rsidRDefault="0069791B">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rPr>
        <w:sz w:val="2"/>
      </w:rPr>
    </w:pPr>
  </w:p>
  <w:p w:rsidR="0069791B" w:rsidRDefault="0069791B">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pPr>
  </w:p>
  <w:p w:rsidR="0069791B" w:rsidRDefault="0069791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Pr="00DB0AAC" w:rsidRDefault="0069791B">
    <w:pPr>
      <w:pStyle w:val="En-tte"/>
      <w:rPr>
        <w:sz w:val="2"/>
        <w:lang w:val="fr-FR"/>
      </w:rPr>
    </w:pPr>
  </w:p>
  <w:p w:rsidR="0069791B" w:rsidRPr="00DB0AAC" w:rsidRDefault="00395CA7">
    <w:pPr>
      <w:pStyle w:val="En-tte"/>
      <w:rPr>
        <w:lang w:val="fr-FR"/>
      </w:rPr>
    </w:pPr>
    <w:fldSimple w:instr=" USERPROPERTY  \* MERGEFORMAT " w:fldLock="1">
      <w:r>
        <w:rPr>
          <w:noProof/>
          <w:lang w:val="fr-FR" w:eastAsia="fr-FR"/>
        </w:rPr>
      </w:r>
      <w:r>
        <w:rPr>
          <w:noProof/>
          <w:lang w:val="fr-FR" w:eastAsia="fr-FR"/>
        </w:rPr>
        <w:pict>
          <v:rect id="AutoShape 7" o:spid="_x0000_s7169" style="width:142.25pt;height:36.85pt;visibility:visible;mso-position-horizontal-relative:char;mso-position-vertical-relative:line" filled="f" stroked="f">
            <o:lock v:ext="edit" aspectratio="t"/>
            <w10:wrap type="none"/>
            <w10:anchorlock/>
          </v:rect>
        </w:pict>
      </w:r>
    </w:fldSimple>
  </w:p>
  <w:p w:rsidR="0069791B" w:rsidRDefault="0069791B" w:rsidP="00435082">
    <w:pPr>
      <w:ind w:firstLine="70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 w:rsidR="0069791B" w:rsidRDefault="0069791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pPr>
  </w:p>
  <w:p w:rsidR="0069791B" w:rsidRDefault="0069791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 w:rsidR="0069791B" w:rsidRDefault="0069791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docVars>
    <w:docVar w:name="dgnword-docGUID" w:val="{39877D4D-0060-4D71-9B38-4114AAF76C42}"/>
    <w:docVar w:name="dgnword-eventsink" w:val="51024640"/>
  </w:docVars>
  <w:rsids>
    <w:rsidRoot w:val="00C45855"/>
    <w:rsid w:val="00015382"/>
    <w:rsid w:val="00016819"/>
    <w:rsid w:val="00020769"/>
    <w:rsid w:val="000213FB"/>
    <w:rsid w:val="00024048"/>
    <w:rsid w:val="0002693E"/>
    <w:rsid w:val="0003638E"/>
    <w:rsid w:val="000472A6"/>
    <w:rsid w:val="00047DA2"/>
    <w:rsid w:val="00067379"/>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95CA7"/>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7764F"/>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rPr>
  </w:style>
  <w:style w:type="character" w:customStyle="1" w:styleId="paragrafCar">
    <w:name w:val="paragraf Car"/>
    <w:link w:val="paragraf"/>
    <w:locked/>
    <w:rsid w:val="0069791B"/>
    <w:rPr>
      <w:rFonts w:ascii="Times New Roman" w:eastAsia="Times New Roman" w:hAnsi="Times New Roman"/>
      <w:sz w:val="24"/>
      <w:lang/>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9791B"/>
    <w:rPr>
      <w:sz w:val="20"/>
      <w:szCs w:val="20"/>
      <w:lang/>
    </w:rPr>
  </w:style>
  <w:style w:type="character" w:customStyle="1" w:styleId="NotedefinCar">
    <w:name w:val="Note de fin Car"/>
    <w:basedOn w:val="Policepardfaut"/>
    <w:link w:val="Notedefin"/>
    <w:uiPriority w:val="99"/>
    <w:semiHidden/>
    <w:rsid w:val="0069791B"/>
    <w:rPr>
      <w:lang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rPr>
  </w:style>
  <w:style w:type="character" w:customStyle="1" w:styleId="Corpsdetexte3Car">
    <w:name w:val="Corps de texte 3 Car"/>
    <w:basedOn w:val="Policepardfaut"/>
    <w:link w:val="Corpsdetexte3"/>
    <w:uiPriority w:val="99"/>
    <w:semiHidden/>
    <w:rsid w:val="0069791B"/>
    <w:rPr>
      <w:sz w:val="16"/>
      <w:szCs w:val="16"/>
      <w:lang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review=1&amp;cid_bo=94753"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microsoft.com/office/2007/relationships/stylesWithEffects" Target="stylesWithEffects.xml"/><Relationship Id="rId10" Type="http://schemas.openxmlformats.org/officeDocument/2006/relationships/hyperlink" Target="http://www.education.gouv.fr/pid285/bulletin_officiel.html?preview=1&amp;cid_bo=94717"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ducation.gouv.fr/pid285/bulletin_officiel.html?preview=1&amp;cid_bo=94708"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7196-02BC-4F14-83B6-EE020B5A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248</Pages>
  <Words>131839</Words>
  <Characters>725118</Characters>
  <Application>Microsoft Office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Christophe</cp:lastModifiedBy>
  <cp:revision>2</cp:revision>
  <dcterms:created xsi:type="dcterms:W3CDTF">2016-06-12T09:40:00Z</dcterms:created>
  <dcterms:modified xsi:type="dcterms:W3CDTF">2016-06-12T09:40:00Z</dcterms:modified>
</cp:coreProperties>
</file>