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458BE" w14:textId="77777777" w:rsidR="00392600" w:rsidRDefault="00F35C3F">
      <w:pPr>
        <w:ind w:left="0" w:hanging="2"/>
        <w:jc w:val="center"/>
        <w:rPr>
          <w:rFonts w:ascii="Trebuchet MS" w:eastAsia="Trebuchet MS" w:hAnsi="Trebuchet MS" w:cs="Trebuchet MS"/>
          <w:sz w:val="20"/>
          <w:szCs w:val="20"/>
          <w:u w:val="single"/>
        </w:rPr>
      </w:pPr>
      <w:r>
        <w:rPr>
          <w:rFonts w:ascii="Trebuchet MS" w:eastAsia="Trebuchet MS" w:hAnsi="Trebuchet MS" w:cs="Trebuchet MS"/>
          <w:b/>
          <w:sz w:val="20"/>
          <w:szCs w:val="20"/>
          <w:u w:val="single"/>
        </w:rPr>
        <w:t>Fiche démarche du GT lycée de l'académie de Strasbourg</w:t>
      </w:r>
    </w:p>
    <w:p w14:paraId="2BED2B9E" w14:textId="77777777" w:rsidR="00392600" w:rsidRDefault="00392600">
      <w:pPr>
        <w:ind w:left="0" w:hanging="2"/>
        <w:jc w:val="center"/>
        <w:rPr>
          <w:rFonts w:ascii="Trebuchet MS" w:eastAsia="Trebuchet MS" w:hAnsi="Trebuchet MS" w:cs="Trebuchet MS"/>
          <w:u w:val="single"/>
        </w:rPr>
      </w:pPr>
    </w:p>
    <w:tbl>
      <w:tblPr>
        <w:tblStyle w:val="a0"/>
        <w:tblW w:w="15683" w:type="dxa"/>
        <w:tblInd w:w="0" w:type="dxa"/>
        <w:tblLayout w:type="fixed"/>
        <w:tblLook w:val="0000" w:firstRow="0" w:lastRow="0" w:firstColumn="0" w:lastColumn="0" w:noHBand="0" w:noVBand="0"/>
      </w:tblPr>
      <w:tblGrid>
        <w:gridCol w:w="2343"/>
        <w:gridCol w:w="13340"/>
      </w:tblGrid>
      <w:tr w:rsidR="00392600" w14:paraId="2C4E8741" w14:textId="77777777">
        <w:trPr>
          <w:trHeight w:val="453"/>
        </w:trPr>
        <w:tc>
          <w:tcPr>
            <w:tcW w:w="2343" w:type="dxa"/>
            <w:tcBorders>
              <w:top w:val="single" w:sz="4" w:space="0" w:color="000000"/>
              <w:left w:val="single" w:sz="4" w:space="0" w:color="000000"/>
              <w:bottom w:val="single" w:sz="4" w:space="0" w:color="000000"/>
            </w:tcBorders>
            <w:vAlign w:val="center"/>
          </w:tcPr>
          <w:p w14:paraId="44AF27E3"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Séquence</w:t>
            </w:r>
          </w:p>
        </w:tc>
        <w:tc>
          <w:tcPr>
            <w:tcW w:w="13340" w:type="dxa"/>
            <w:tcBorders>
              <w:top w:val="single" w:sz="4" w:space="0" w:color="000000"/>
              <w:left w:val="single" w:sz="4" w:space="0" w:color="000000"/>
              <w:bottom w:val="single" w:sz="4" w:space="0" w:color="000000"/>
              <w:right w:val="single" w:sz="4" w:space="0" w:color="000000"/>
            </w:tcBorders>
            <w:vAlign w:val="center"/>
          </w:tcPr>
          <w:p w14:paraId="0E9A00FD"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Thème 4 : Identifier, protéger et valoriser le patrimoine : enjeux géopolitiques</w:t>
            </w:r>
          </w:p>
          <w:p w14:paraId="4524B55D"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Axe 2: Patrimoine : la préservation entre tensions et concurrences</w:t>
            </w:r>
          </w:p>
        </w:tc>
      </w:tr>
      <w:tr w:rsidR="00392600" w14:paraId="5FF3FFB7" w14:textId="77777777">
        <w:trPr>
          <w:trHeight w:val="406"/>
        </w:trPr>
        <w:tc>
          <w:tcPr>
            <w:tcW w:w="2343" w:type="dxa"/>
            <w:tcBorders>
              <w:left w:val="single" w:sz="4" w:space="0" w:color="000000"/>
              <w:bottom w:val="single" w:sz="4" w:space="0" w:color="000000"/>
            </w:tcBorders>
            <w:vAlign w:val="center"/>
          </w:tcPr>
          <w:p w14:paraId="5BA7939D" w14:textId="77777777" w:rsidR="00392600" w:rsidRDefault="00F35C3F">
            <w:pPr>
              <w:ind w:left="0" w:hanging="2"/>
              <w:jc w:val="center"/>
              <w:rPr>
                <w:rFonts w:ascii="Trebuchet MS" w:eastAsia="Trebuchet MS" w:hAnsi="Trebuchet MS" w:cs="Trebuchet MS"/>
                <w:sz w:val="20"/>
                <w:szCs w:val="20"/>
              </w:rPr>
            </w:pPr>
            <w:r>
              <w:rPr>
                <w:rFonts w:ascii="Trebuchet MS" w:eastAsia="Trebuchet MS" w:hAnsi="Trebuchet MS" w:cs="Trebuchet MS"/>
                <w:b/>
                <w:sz w:val="20"/>
                <w:szCs w:val="20"/>
              </w:rPr>
              <w:t>Durée et place dans la programmation</w:t>
            </w:r>
          </w:p>
        </w:tc>
        <w:tc>
          <w:tcPr>
            <w:tcW w:w="13340" w:type="dxa"/>
            <w:tcBorders>
              <w:left w:val="single" w:sz="4" w:space="0" w:color="000000"/>
              <w:bottom w:val="single" w:sz="4" w:space="0" w:color="000000"/>
              <w:right w:val="single" w:sz="4" w:space="0" w:color="000000"/>
            </w:tcBorders>
          </w:tcPr>
          <w:p w14:paraId="46D6E76B" w14:textId="77777777" w:rsidR="00392600" w:rsidRDefault="00F35C3F">
            <w:pPr>
              <w:widowControl/>
              <w:pBdr>
                <w:top w:val="nil"/>
                <w:left w:val="nil"/>
                <w:bottom w:val="nil"/>
                <w:right w:val="nil"/>
                <w:between w:val="nil"/>
              </w:pBdr>
              <w:spacing w:line="240" w:lineRule="auto"/>
              <w:ind w:left="0" w:hanging="2"/>
              <w:jc w:val="center"/>
              <w:rPr>
                <w:rFonts w:ascii="Trebuchet MS" w:eastAsia="Trebuchet MS" w:hAnsi="Trebuchet MS" w:cs="Trebuchet MS"/>
                <w:color w:val="000000"/>
              </w:rPr>
            </w:pPr>
            <w:r>
              <w:rPr>
                <w:rFonts w:ascii="Trebuchet MS" w:eastAsia="Trebuchet MS" w:hAnsi="Trebuchet MS" w:cs="Trebuchet MS"/>
                <w:color w:val="000000"/>
                <w:sz w:val="20"/>
                <w:szCs w:val="20"/>
              </w:rPr>
              <w:t>26 à 28 heures (évaluation comprise) sont consacrées au Thème 4</w:t>
            </w:r>
          </w:p>
          <w:p w14:paraId="3D78D79A" w14:textId="77777777" w:rsidR="00392600" w:rsidRDefault="00F35C3F">
            <w:pPr>
              <w:widowControl/>
              <w:pBdr>
                <w:top w:val="nil"/>
                <w:left w:val="nil"/>
                <w:bottom w:val="nil"/>
                <w:right w:val="nil"/>
                <w:between w:val="nil"/>
              </w:pBdr>
              <w:spacing w:line="240" w:lineRule="auto"/>
              <w:ind w:left="0" w:hanging="2"/>
              <w:jc w:val="center"/>
              <w:rPr>
                <w:rFonts w:ascii="Trebuchet MS" w:eastAsia="Trebuchet MS" w:hAnsi="Trebuchet MS" w:cs="Trebuchet MS"/>
                <w:color w:val="000000"/>
              </w:rPr>
            </w:pPr>
            <w:r>
              <w:rPr>
                <w:rFonts w:ascii="Trebuchet MS" w:eastAsia="Trebuchet MS" w:hAnsi="Trebuchet MS" w:cs="Trebuchet MS"/>
                <w:color w:val="000000"/>
                <w:sz w:val="20"/>
                <w:szCs w:val="20"/>
              </w:rPr>
              <w:t>Temps consacré à l’axe 2 : 6-7h sans évaluation</w:t>
            </w:r>
          </w:p>
        </w:tc>
      </w:tr>
      <w:tr w:rsidR="00392600" w14:paraId="59B28E25" w14:textId="77777777">
        <w:tc>
          <w:tcPr>
            <w:tcW w:w="2343" w:type="dxa"/>
            <w:tcBorders>
              <w:left w:val="single" w:sz="4" w:space="0" w:color="000000"/>
              <w:bottom w:val="single" w:sz="4" w:space="0" w:color="000000"/>
            </w:tcBorders>
            <w:vAlign w:val="center"/>
          </w:tcPr>
          <w:p w14:paraId="2EA60857" w14:textId="77777777" w:rsidR="00392600" w:rsidRDefault="00F35C3F">
            <w:pPr>
              <w:ind w:left="0" w:hanging="2"/>
              <w:jc w:val="center"/>
              <w:rPr>
                <w:rFonts w:ascii="Trebuchet MS" w:eastAsia="Trebuchet MS" w:hAnsi="Trebuchet MS" w:cs="Trebuchet MS"/>
                <w:sz w:val="20"/>
                <w:szCs w:val="20"/>
              </w:rPr>
            </w:pPr>
            <w:r>
              <w:rPr>
                <w:rFonts w:ascii="Trebuchet MS" w:eastAsia="Trebuchet MS" w:hAnsi="Trebuchet MS" w:cs="Trebuchet MS"/>
                <w:b/>
                <w:sz w:val="20"/>
                <w:szCs w:val="20"/>
              </w:rPr>
              <w:t xml:space="preserve">Liens possiblesavec d’autres séquences </w:t>
            </w:r>
          </w:p>
          <w:p w14:paraId="329ACAEC"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ou matières</w:t>
            </w:r>
          </w:p>
        </w:tc>
        <w:tc>
          <w:tcPr>
            <w:tcW w:w="13340" w:type="dxa"/>
            <w:tcBorders>
              <w:left w:val="single" w:sz="4" w:space="0" w:color="000000"/>
              <w:bottom w:val="single" w:sz="4" w:space="0" w:color="000000"/>
              <w:right w:val="single" w:sz="4" w:space="0" w:color="000000"/>
            </w:tcBorders>
          </w:tcPr>
          <w:p w14:paraId="776786FD" w14:textId="77777777" w:rsidR="00392600" w:rsidRDefault="00F35C3F">
            <w:pPr>
              <w:ind w:left="0" w:hanging="2"/>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Liens possibles avec le thème 3 sur </w:t>
            </w:r>
            <w:r>
              <w:rPr>
                <w:rFonts w:ascii="Trebuchet MS" w:eastAsia="Trebuchet MS" w:hAnsi="Trebuchet MS" w:cs="Trebuchet MS"/>
                <w:i/>
                <w:color w:val="000000"/>
                <w:sz w:val="20"/>
                <w:szCs w:val="20"/>
              </w:rPr>
              <w:t xml:space="preserve">Histoire et mémoires </w:t>
            </w:r>
            <w:r>
              <w:rPr>
                <w:rFonts w:ascii="Trebuchet MS" w:eastAsia="Trebuchet MS" w:hAnsi="Trebuchet MS" w:cs="Trebuchet MS"/>
                <w:color w:val="000000"/>
                <w:sz w:val="20"/>
                <w:szCs w:val="20"/>
              </w:rPr>
              <w:t>et le thème 2</w:t>
            </w:r>
            <w:r>
              <w:t xml:space="preserve"> </w:t>
            </w:r>
            <w:r>
              <w:rPr>
                <w:i/>
              </w:rPr>
              <w:t xml:space="preserve">Faire la guerre, faire la paix : formes de conflits et modes de résolution </w:t>
            </w:r>
            <w:r>
              <w:t>et le thème 5 de 1</w:t>
            </w:r>
            <w:r>
              <w:rPr>
                <w:vertAlign w:val="superscript"/>
              </w:rPr>
              <w:t>ère</w:t>
            </w:r>
            <w:r>
              <w:t xml:space="preserve"> </w:t>
            </w:r>
            <w:r>
              <w:rPr>
                <w:i/>
              </w:rPr>
              <w:t>Analyser les relations entre États et religions</w:t>
            </w:r>
          </w:p>
        </w:tc>
      </w:tr>
      <w:tr w:rsidR="00392600" w14:paraId="403F0009" w14:textId="77777777">
        <w:tc>
          <w:tcPr>
            <w:tcW w:w="2343" w:type="dxa"/>
            <w:tcBorders>
              <w:left w:val="single" w:sz="4" w:space="0" w:color="000000"/>
              <w:bottom w:val="single" w:sz="4" w:space="0" w:color="000000"/>
            </w:tcBorders>
            <w:vAlign w:val="center"/>
          </w:tcPr>
          <w:p w14:paraId="3204138F"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Problématiques</w:t>
            </w:r>
          </w:p>
          <w:p w14:paraId="616F20ED" w14:textId="77777777" w:rsidR="00392600" w:rsidRDefault="00392600">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0" w:type="dxa"/>
            <w:tcBorders>
              <w:left w:val="single" w:sz="4" w:space="0" w:color="000000"/>
              <w:bottom w:val="single" w:sz="4" w:space="0" w:color="000000"/>
              <w:right w:val="single" w:sz="4" w:space="0" w:color="000000"/>
            </w:tcBorders>
          </w:tcPr>
          <w:p w14:paraId="7F4F04FA" w14:textId="77777777" w:rsidR="00392600" w:rsidRDefault="00F35C3F">
            <w:pPr>
              <w:ind w:left="0" w:hanging="2"/>
              <w:jc w:val="center"/>
              <w:rPr>
                <w:rFonts w:ascii="Trebuchet MS" w:eastAsia="Trebuchet MS" w:hAnsi="Trebuchet MS" w:cs="Trebuchet MS"/>
                <w:color w:val="000000"/>
                <w:sz w:val="20"/>
                <w:szCs w:val="20"/>
                <w:highlight w:val="yellow"/>
              </w:rPr>
            </w:pPr>
            <w:r>
              <w:rPr>
                <w:rFonts w:ascii="Trebuchet MS" w:eastAsia="Trebuchet MS" w:hAnsi="Trebuchet MS" w:cs="Trebuchet MS"/>
                <w:b/>
                <w:color w:val="000000"/>
                <w:sz w:val="20"/>
                <w:szCs w:val="20"/>
              </w:rPr>
              <w:t xml:space="preserve">Problématique professeur : </w:t>
            </w:r>
            <w:r>
              <w:rPr>
                <w:rFonts w:ascii="Trebuchet MS" w:eastAsia="Trebuchet MS" w:hAnsi="Trebuchet MS" w:cs="Trebuchet MS"/>
                <w:color w:val="000000"/>
                <w:sz w:val="20"/>
                <w:szCs w:val="20"/>
              </w:rPr>
              <w:t>Dans quelle mesure protection et valorisation du patrimoine peuvent entrer en contradiction ou au contraire entrer en synergie, y compris en période de conflit ?</w:t>
            </w:r>
          </w:p>
          <w:p w14:paraId="157EE5B5" w14:textId="77777777" w:rsidR="00392600" w:rsidRDefault="00F35C3F">
            <w:pPr>
              <w:ind w:left="0" w:hanging="2"/>
              <w:jc w:val="center"/>
              <w:rPr>
                <w:rFonts w:ascii="Trebuchet MS" w:eastAsia="Trebuchet MS" w:hAnsi="Trebuchet MS" w:cs="Trebuchet MS"/>
                <w:sz w:val="20"/>
                <w:szCs w:val="20"/>
              </w:rPr>
            </w:pPr>
            <w:r>
              <w:rPr>
                <w:rFonts w:ascii="Trebuchet MS" w:eastAsia="Trebuchet MS" w:hAnsi="Trebuchet MS" w:cs="Trebuchet MS"/>
                <w:b/>
                <w:sz w:val="20"/>
                <w:szCs w:val="20"/>
              </w:rPr>
              <w:t xml:space="preserve">Problématique élève : </w:t>
            </w:r>
            <w:r w:rsidRPr="00D0121A">
              <w:rPr>
                <w:rFonts w:ascii="Calibri" w:eastAsia="Calibri" w:hAnsi="Calibri" w:cs="Calibri"/>
                <w:color w:val="000000" w:themeColor="text1"/>
              </w:rPr>
              <w:t>Protéger et valoriser le patrimoine : des logiques opposées ou complémentaires ?</w:t>
            </w:r>
          </w:p>
        </w:tc>
      </w:tr>
      <w:tr w:rsidR="00392600" w14:paraId="238990DE" w14:textId="77777777">
        <w:tc>
          <w:tcPr>
            <w:tcW w:w="2343" w:type="dxa"/>
            <w:tcBorders>
              <w:left w:val="single" w:sz="4" w:space="0" w:color="000000"/>
              <w:bottom w:val="single" w:sz="4" w:space="0" w:color="000000"/>
            </w:tcBorders>
            <w:vAlign w:val="center"/>
          </w:tcPr>
          <w:p w14:paraId="4BF12459"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Objectifs</w:t>
            </w:r>
          </w:p>
          <w:p w14:paraId="7D0C4451" w14:textId="77777777" w:rsidR="00392600" w:rsidRDefault="00392600">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0" w:type="dxa"/>
            <w:tcBorders>
              <w:left w:val="single" w:sz="4" w:space="0" w:color="000000"/>
              <w:bottom w:val="single" w:sz="4" w:space="0" w:color="000000"/>
              <w:right w:val="single" w:sz="4" w:space="0" w:color="000000"/>
            </w:tcBorders>
          </w:tcPr>
          <w:p w14:paraId="5AA5DD65" w14:textId="77777777" w:rsidR="00392600" w:rsidRDefault="00F35C3F">
            <w:pPr>
              <w:ind w:left="0" w:hanging="2"/>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 l’étude d’exemples précis (les jalons), amener les élèves à comprendre que le patrimoine une fois défini par une société et des acteurs politiques est entretenu, protégé pour traverser les siècles (ex de Paris). Cette protection vise souvent à tirer profit de ce patrimoine, notamment par le tousime. Cette valorisation peut néanmois générer un tourisme tel qu’il fragilise le patrimoine (ex de Venise).</w:t>
            </w:r>
          </w:p>
          <w:p w14:paraId="282B6334" w14:textId="77777777" w:rsidR="00392600" w:rsidRDefault="00F35C3F">
            <w:pPr>
              <w:ind w:left="0" w:hanging="2"/>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Au contraire, la destruction du patrimoine peut être un moyen pour des groupes terroristes de gagner en médiatisation, et la protection du patrimoine devient alors un enjeu géopolitique majeur (ex du Mali).</w:t>
            </w:r>
          </w:p>
        </w:tc>
      </w:tr>
      <w:tr w:rsidR="00392600" w14:paraId="7ED941A4" w14:textId="77777777">
        <w:tc>
          <w:tcPr>
            <w:tcW w:w="2343" w:type="dxa"/>
            <w:tcBorders>
              <w:left w:val="single" w:sz="4" w:space="0" w:color="000000"/>
              <w:bottom w:val="single" w:sz="4" w:space="0" w:color="000000"/>
            </w:tcBorders>
            <w:vAlign w:val="center"/>
          </w:tcPr>
          <w:p w14:paraId="6F87595B"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Capacités travaillées</w:t>
            </w:r>
          </w:p>
          <w:p w14:paraId="367BE78E" w14:textId="77777777" w:rsidR="00392600" w:rsidRDefault="00392600">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0" w:type="dxa"/>
            <w:tcBorders>
              <w:left w:val="single" w:sz="4" w:space="0" w:color="000000"/>
              <w:bottom w:val="single" w:sz="4" w:space="0" w:color="000000"/>
              <w:right w:val="single" w:sz="4" w:space="0" w:color="000000"/>
            </w:tcBorders>
          </w:tcPr>
          <w:p w14:paraId="4A6EF0DA" w14:textId="77777777" w:rsidR="00392600" w:rsidRDefault="00F35C3F">
            <w:p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De façon successive, l’ensemble des capacités proposées par le programme sont travaillées durant le thème, notamment grâces aux travaux individualisés ou en petits groupes proposés aux élèves dans la mise en œuvre pédagogique. Cette dernière est organisée à l’échelle du thème.</w:t>
            </w:r>
          </w:p>
          <w:p w14:paraId="1D1AB2DD" w14:textId="77777777" w:rsidR="00392600" w:rsidRDefault="00F35C3F">
            <w:pPr>
              <w:numPr>
                <w:ilvl w:val="0"/>
                <w:numId w:val="2"/>
              </w:num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Analyser, interroger, adopter une démarche réflexive</w:t>
            </w:r>
          </w:p>
          <w:p w14:paraId="244C8FB2" w14:textId="77777777" w:rsidR="00392600" w:rsidRDefault="00F35C3F">
            <w:pPr>
              <w:numPr>
                <w:ilvl w:val="0"/>
                <w:numId w:val="2"/>
              </w:num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 documenter</w:t>
            </w:r>
          </w:p>
          <w:p w14:paraId="2831571D" w14:textId="77777777" w:rsidR="00392600" w:rsidRDefault="00F35C3F">
            <w:pPr>
              <w:numPr>
                <w:ilvl w:val="0"/>
                <w:numId w:val="2"/>
              </w:num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S’exprimer à l’oral</w:t>
            </w:r>
          </w:p>
          <w:p w14:paraId="07E7B6E6" w14:textId="77777777" w:rsidR="00392600" w:rsidRDefault="00F35C3F">
            <w:p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Ici, un travail spécifique est mené sur la réalisation de fiche de lecture et sur la synthèse graphique (schéma et carte mentale).</w:t>
            </w:r>
          </w:p>
          <w:p w14:paraId="5F605458" w14:textId="77777777" w:rsidR="00392600" w:rsidRDefault="00F35C3F">
            <w:p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Ainsi, temps de travail et de recherche individuels ou en petits groupes; temps de présentation orale et temps de synthèse alternent durant l’ensemble du thème. </w:t>
            </w:r>
          </w:p>
          <w:p w14:paraId="0D90960E" w14:textId="77777777" w:rsidR="00392600" w:rsidRDefault="00F35C3F">
            <w:pPr>
              <w:ind w:left="0" w:hanging="2"/>
              <w:rPr>
                <w:rFonts w:ascii="Trebuchet MS" w:eastAsia="Trebuchet MS" w:hAnsi="Trebuchet MS" w:cs="Trebuchet MS"/>
                <w:color w:val="000000"/>
                <w:sz w:val="20"/>
                <w:szCs w:val="20"/>
                <w:highlight w:val="yellow"/>
              </w:rPr>
            </w:pPr>
            <w:r>
              <w:rPr>
                <w:rFonts w:ascii="Trebuchet MS" w:eastAsia="Trebuchet MS" w:hAnsi="Trebuchet MS" w:cs="Trebuchet MS"/>
                <w:color w:val="000000"/>
                <w:sz w:val="20"/>
                <w:szCs w:val="20"/>
              </w:rPr>
              <w:t>Large part laissée à des temps de travail en autonomie individuels ou par petits groupes, y compris des devoirs maison .</w:t>
            </w:r>
          </w:p>
        </w:tc>
      </w:tr>
      <w:tr w:rsidR="00392600" w14:paraId="4BFCE349" w14:textId="77777777">
        <w:tc>
          <w:tcPr>
            <w:tcW w:w="2343" w:type="dxa"/>
            <w:tcBorders>
              <w:left w:val="single" w:sz="4" w:space="0" w:color="000000"/>
              <w:bottom w:val="single" w:sz="4" w:space="0" w:color="000000"/>
            </w:tcBorders>
            <w:vAlign w:val="center"/>
          </w:tcPr>
          <w:p w14:paraId="6FB8375F" w14:textId="77777777" w:rsidR="00392600" w:rsidRDefault="00392600">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p w14:paraId="09312F07"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rPr>
              <w:t xml:space="preserve">Approches, modalités et pistes de travail en lien  avec les </w:t>
            </w:r>
            <w:r>
              <w:rPr>
                <w:rFonts w:ascii="Trebuchet MS" w:eastAsia="Trebuchet MS" w:hAnsi="Trebuchet MS" w:cs="Trebuchet MS"/>
                <w:b/>
                <w:color w:val="000000"/>
                <w:sz w:val="20"/>
                <w:szCs w:val="20"/>
                <w:u w:val="single"/>
              </w:rPr>
              <w:t xml:space="preserve">changements induits par les nouveaux programmes </w:t>
            </w:r>
          </w:p>
          <w:p w14:paraId="3EE5C83B" w14:textId="77777777" w:rsidR="00392600" w:rsidRDefault="00392600">
            <w:pPr>
              <w:pBdr>
                <w:top w:val="nil"/>
                <w:left w:val="nil"/>
                <w:bottom w:val="nil"/>
                <w:right w:val="nil"/>
                <w:between w:val="nil"/>
              </w:pBdr>
              <w:spacing w:line="240" w:lineRule="auto"/>
              <w:ind w:left="0" w:hanging="2"/>
              <w:jc w:val="center"/>
              <w:rPr>
                <w:rFonts w:ascii="Trebuchet MS" w:eastAsia="Trebuchet MS" w:hAnsi="Trebuchet MS" w:cs="Trebuchet MS"/>
                <w:color w:val="FF0000"/>
                <w:sz w:val="20"/>
                <w:szCs w:val="20"/>
              </w:rPr>
            </w:pPr>
          </w:p>
          <w:p w14:paraId="103F4B1D" w14:textId="77777777" w:rsidR="00392600" w:rsidRDefault="00392600">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p>
          <w:p w14:paraId="67315C8B" w14:textId="77777777" w:rsidR="00392600" w:rsidRDefault="00392600">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0" w:type="dxa"/>
            <w:tcBorders>
              <w:left w:val="single" w:sz="4" w:space="0" w:color="000000"/>
              <w:bottom w:val="single" w:sz="4" w:space="0" w:color="000000"/>
              <w:right w:val="single" w:sz="4" w:space="0" w:color="000000"/>
            </w:tcBorders>
          </w:tcPr>
          <w:p w14:paraId="6BB8257F" w14:textId="77777777" w:rsidR="00392600" w:rsidRDefault="00F35C3F">
            <w:pPr>
              <w:numPr>
                <w:ilvl w:val="0"/>
                <w:numId w:val="1"/>
              </w:numPr>
              <w:ind w:hanging="2"/>
              <w:jc w:val="both"/>
              <w:rPr>
                <w:sz w:val="20"/>
                <w:szCs w:val="20"/>
                <w:u w:val="single"/>
              </w:rPr>
            </w:pPr>
            <w:r>
              <w:rPr>
                <w:b/>
                <w:sz w:val="20"/>
                <w:szCs w:val="20"/>
                <w:u w:val="single"/>
              </w:rPr>
              <w:t xml:space="preserve"> </w:t>
            </w:r>
            <w:r>
              <w:rPr>
                <w:b/>
                <w:i/>
                <w:sz w:val="20"/>
                <w:szCs w:val="20"/>
                <w:u w:val="single"/>
              </w:rPr>
              <w:t>I – Patrimoine et développement urbain: des rapports complexes</w:t>
            </w:r>
          </w:p>
          <w:p w14:paraId="128373A6" w14:textId="77777777" w:rsidR="00392600" w:rsidRDefault="00F35C3F">
            <w:pPr>
              <w:widowControl/>
              <w:numPr>
                <w:ilvl w:val="0"/>
                <w:numId w:val="1"/>
              </w:numPr>
              <w:ind w:hanging="2"/>
              <w:jc w:val="both"/>
              <w:rPr>
                <w:sz w:val="20"/>
                <w:szCs w:val="20"/>
                <w:u w:val="single"/>
              </w:rPr>
            </w:pPr>
            <w:r>
              <w:rPr>
                <w:b/>
                <w:sz w:val="20"/>
                <w:szCs w:val="20"/>
                <w:u w:val="single"/>
              </w:rPr>
              <w:t>1. Paris : un patrimoine riche et varié et des projets de développement urbains nombreux</w:t>
            </w:r>
          </w:p>
          <w:p w14:paraId="57F85A2E" w14:textId="77777777" w:rsidR="00392600" w:rsidRDefault="00F35C3F">
            <w:pPr>
              <w:widowControl/>
              <w:numPr>
                <w:ilvl w:val="0"/>
                <w:numId w:val="1"/>
              </w:numPr>
              <w:ind w:hanging="2"/>
              <w:jc w:val="both"/>
              <w:rPr>
                <w:sz w:val="20"/>
                <w:szCs w:val="20"/>
                <w:u w:val="single"/>
              </w:rPr>
            </w:pPr>
            <w:r>
              <w:rPr>
                <w:b/>
                <w:sz w:val="20"/>
                <w:szCs w:val="20"/>
                <w:u w:val="single"/>
              </w:rPr>
              <w:t>2. Peut-on concilier préservation du patrimoine et développement économique à Paris ?</w:t>
            </w:r>
          </w:p>
          <w:p w14:paraId="6DA87D5C" w14:textId="77777777" w:rsidR="00392600" w:rsidRDefault="00F35C3F">
            <w:pPr>
              <w:widowControl/>
              <w:numPr>
                <w:ilvl w:val="0"/>
                <w:numId w:val="1"/>
              </w:numPr>
              <w:ind w:hanging="2"/>
              <w:jc w:val="both"/>
              <w:rPr>
                <w:sz w:val="20"/>
                <w:szCs w:val="20"/>
                <w:u w:val="single"/>
              </w:rPr>
            </w:pPr>
            <w:r>
              <w:rPr>
                <w:b/>
                <w:sz w:val="20"/>
                <w:szCs w:val="20"/>
                <w:u w:val="single"/>
              </w:rPr>
              <w:t>3. Quels équilibres entre développement des villes et gestion du patrimoine ?</w:t>
            </w:r>
          </w:p>
          <w:p w14:paraId="73DE2CC7" w14:textId="77777777" w:rsidR="00392600" w:rsidRDefault="00F35C3F">
            <w:pPr>
              <w:widowControl/>
              <w:ind w:left="0" w:hanging="2"/>
              <w:jc w:val="both"/>
              <w:rPr>
                <w:sz w:val="20"/>
                <w:szCs w:val="20"/>
                <w:u w:val="single"/>
              </w:rPr>
            </w:pPr>
            <w:r>
              <w:rPr>
                <w:rFonts w:ascii="Trebuchet MS" w:eastAsia="Trebuchet MS" w:hAnsi="Trebuchet MS" w:cs="Trebuchet MS"/>
                <w:color w:val="000000"/>
                <w:sz w:val="20"/>
                <w:szCs w:val="20"/>
              </w:rPr>
              <w:t>réalisation d’un schéma</w:t>
            </w:r>
          </w:p>
          <w:p w14:paraId="2D68BFF6" w14:textId="77777777" w:rsidR="00392600" w:rsidRDefault="00F35C3F">
            <w:pPr>
              <w:numPr>
                <w:ilvl w:val="0"/>
                <w:numId w:val="1"/>
              </w:numPr>
              <w:ind w:hanging="2"/>
              <w:jc w:val="both"/>
              <w:rPr>
                <w:sz w:val="20"/>
                <w:szCs w:val="20"/>
                <w:u w:val="single"/>
              </w:rPr>
            </w:pPr>
            <w:r>
              <w:rPr>
                <w:b/>
                <w:sz w:val="20"/>
                <w:szCs w:val="20"/>
                <w:u w:val="single"/>
              </w:rPr>
              <w:t xml:space="preserve"> </w:t>
            </w:r>
            <w:r>
              <w:rPr>
                <w:b/>
                <w:i/>
                <w:sz w:val="20"/>
                <w:szCs w:val="20"/>
                <w:u w:val="single"/>
              </w:rPr>
              <w:t>II – Tourisme et patrimoine: des rapports complexes</w:t>
            </w:r>
          </w:p>
          <w:p w14:paraId="269908F9" w14:textId="77777777" w:rsidR="00392600" w:rsidRDefault="00F35C3F">
            <w:pPr>
              <w:widowControl/>
              <w:numPr>
                <w:ilvl w:val="0"/>
                <w:numId w:val="1"/>
              </w:numPr>
              <w:ind w:hanging="2"/>
              <w:jc w:val="both"/>
              <w:rPr>
                <w:sz w:val="20"/>
                <w:szCs w:val="20"/>
                <w:u w:val="single"/>
              </w:rPr>
            </w:pPr>
            <w:r>
              <w:rPr>
                <w:b/>
                <w:sz w:val="20"/>
                <w:szCs w:val="20"/>
                <w:u w:val="single"/>
              </w:rPr>
              <w:t xml:space="preserve">1. Venise, entre valorisation touristique et protection du patrimoine </w:t>
            </w:r>
          </w:p>
          <w:p w14:paraId="57FA12AB" w14:textId="77777777" w:rsidR="00392600" w:rsidRDefault="00F35C3F">
            <w:pPr>
              <w:widowControl/>
              <w:numPr>
                <w:ilvl w:val="0"/>
                <w:numId w:val="1"/>
              </w:numPr>
              <w:shd w:val="clear" w:color="auto" w:fill="FFFFFF"/>
              <w:ind w:hanging="2"/>
              <w:jc w:val="both"/>
              <w:rPr>
                <w:sz w:val="20"/>
                <w:szCs w:val="20"/>
                <w:u w:val="single"/>
              </w:rPr>
            </w:pPr>
            <w:r>
              <w:rPr>
                <w:b/>
                <w:sz w:val="20"/>
                <w:szCs w:val="20"/>
                <w:u w:val="single"/>
              </w:rPr>
              <w:t xml:space="preserve">2. Le patrimoine et le tourisme culturel : un équilibre difficile à trouver </w:t>
            </w:r>
          </w:p>
          <w:p w14:paraId="2FAB1EA3" w14:textId="77777777" w:rsidR="00392600" w:rsidRDefault="00F35C3F">
            <w:pPr>
              <w:widowControl/>
              <w:shd w:val="clear" w:color="auto" w:fill="FFFFFF"/>
              <w:ind w:left="0" w:hanging="2"/>
              <w:jc w:val="both"/>
              <w:rPr>
                <w:sz w:val="20"/>
                <w:szCs w:val="20"/>
                <w:u w:val="single"/>
              </w:rPr>
            </w:pPr>
            <w:r>
              <w:rPr>
                <w:rFonts w:ascii="Trebuchet MS" w:eastAsia="Trebuchet MS" w:hAnsi="Trebuchet MS" w:cs="Trebuchet MS"/>
                <w:color w:val="000000"/>
                <w:sz w:val="20"/>
                <w:szCs w:val="20"/>
              </w:rPr>
              <w:t>réalisation d’une fiche de lecture</w:t>
            </w:r>
          </w:p>
          <w:p w14:paraId="52C31800" w14:textId="77777777" w:rsidR="00392600" w:rsidRDefault="00F35C3F">
            <w:pPr>
              <w:widowControl/>
              <w:shd w:val="clear" w:color="auto" w:fill="FFFFFF"/>
              <w:ind w:left="0" w:hanging="2"/>
              <w:jc w:val="both"/>
              <w:rPr>
                <w:sz w:val="20"/>
                <w:szCs w:val="20"/>
                <w:u w:val="single"/>
              </w:rPr>
            </w:pPr>
            <w:r>
              <w:rPr>
                <w:b/>
                <w:i/>
                <w:sz w:val="20"/>
                <w:szCs w:val="20"/>
                <w:u w:val="single"/>
              </w:rPr>
              <w:t>III- La destruction, la protection et la restauration du patrimoine, enjeu géopolitique. La question patrimoniale au Mali.</w:t>
            </w:r>
          </w:p>
          <w:p w14:paraId="217C881A" w14:textId="77777777" w:rsidR="00392600" w:rsidRDefault="00F35C3F">
            <w:pPr>
              <w:widowControl/>
              <w:shd w:val="clear" w:color="auto" w:fill="FFFFFF"/>
              <w:tabs>
                <w:tab w:val="left" w:pos="862"/>
              </w:tabs>
              <w:ind w:left="0" w:hanging="2"/>
              <w:jc w:val="both"/>
              <w:rPr>
                <w:sz w:val="20"/>
                <w:szCs w:val="20"/>
                <w:u w:val="single"/>
              </w:rPr>
            </w:pPr>
            <w:r>
              <w:rPr>
                <w:b/>
                <w:sz w:val="20"/>
                <w:szCs w:val="20"/>
                <w:u w:val="single"/>
              </w:rPr>
              <w:t>1. Le Mali, un pays à l’histoire prestigieuse qui a laissé un riche patrimoine</w:t>
            </w:r>
          </w:p>
          <w:p w14:paraId="417E0797" w14:textId="77777777" w:rsidR="00392600" w:rsidRDefault="00F35C3F">
            <w:pPr>
              <w:widowControl/>
              <w:shd w:val="clear" w:color="auto" w:fill="FFFFFF"/>
              <w:ind w:left="0" w:hanging="2"/>
              <w:jc w:val="both"/>
              <w:rPr>
                <w:sz w:val="20"/>
                <w:szCs w:val="20"/>
                <w:u w:val="single"/>
              </w:rPr>
            </w:pPr>
            <w:r>
              <w:rPr>
                <w:b/>
                <w:sz w:val="20"/>
                <w:szCs w:val="20"/>
                <w:u w:val="single"/>
              </w:rPr>
              <w:t>2. Un pays marqué par une grande diversité</w:t>
            </w:r>
          </w:p>
          <w:p w14:paraId="1AF603E6" w14:textId="77777777" w:rsidR="00392600" w:rsidRDefault="00F35C3F">
            <w:pPr>
              <w:widowControl/>
              <w:shd w:val="clear" w:color="auto" w:fill="FFFFFF"/>
              <w:ind w:left="0" w:hanging="2"/>
              <w:jc w:val="both"/>
              <w:rPr>
                <w:sz w:val="20"/>
                <w:szCs w:val="20"/>
                <w:u w:val="single"/>
              </w:rPr>
            </w:pPr>
            <w:r>
              <w:rPr>
                <w:b/>
                <w:sz w:val="20"/>
                <w:szCs w:val="20"/>
                <w:u w:val="single"/>
              </w:rPr>
              <w:t>3. Un pays marqué par des tensions qui mettent en danger le patrimoine</w:t>
            </w:r>
          </w:p>
          <w:p w14:paraId="6B005270" w14:textId="77777777" w:rsidR="00392600" w:rsidRDefault="00F35C3F">
            <w:pPr>
              <w:shd w:val="clear" w:color="auto" w:fill="FFFFFF"/>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réalisation d’une carte mentale</w:t>
            </w:r>
          </w:p>
          <w:p w14:paraId="06678242" w14:textId="77777777" w:rsidR="00392600" w:rsidRDefault="00392600">
            <w:pPr>
              <w:ind w:left="0" w:hanging="2"/>
              <w:rPr>
                <w:rFonts w:ascii="Trebuchet MS" w:eastAsia="Trebuchet MS" w:hAnsi="Trebuchet MS" w:cs="Trebuchet MS"/>
                <w:color w:val="000000"/>
                <w:sz w:val="20"/>
                <w:szCs w:val="20"/>
                <w:highlight w:val="yellow"/>
              </w:rPr>
            </w:pPr>
          </w:p>
        </w:tc>
      </w:tr>
      <w:tr w:rsidR="00392600" w14:paraId="00254135" w14:textId="77777777">
        <w:tc>
          <w:tcPr>
            <w:tcW w:w="2343" w:type="dxa"/>
            <w:tcBorders>
              <w:left w:val="single" w:sz="4" w:space="0" w:color="000000"/>
              <w:bottom w:val="single" w:sz="4" w:space="0" w:color="000000"/>
            </w:tcBorders>
            <w:vAlign w:val="center"/>
          </w:tcPr>
          <w:p w14:paraId="3FA84209"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lastRenderedPageBreak/>
              <w:t>Notions-clé</w:t>
            </w:r>
          </w:p>
          <w:p w14:paraId="34FA16EE"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Vocabulaire</w:t>
            </w:r>
          </w:p>
          <w:p w14:paraId="794E831F"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Repères</w:t>
            </w:r>
          </w:p>
        </w:tc>
        <w:tc>
          <w:tcPr>
            <w:tcW w:w="13340" w:type="dxa"/>
            <w:tcBorders>
              <w:left w:val="single" w:sz="4" w:space="0" w:color="000000"/>
              <w:bottom w:val="single" w:sz="4" w:space="0" w:color="000000"/>
              <w:right w:val="single" w:sz="4" w:space="0" w:color="000000"/>
            </w:tcBorders>
            <w:vAlign w:val="center"/>
          </w:tcPr>
          <w:p w14:paraId="54093439" w14:textId="77777777" w:rsidR="00392600" w:rsidRDefault="00F35C3F">
            <w:pPr>
              <w:ind w:left="0" w:hanging="2"/>
              <w:jc w:val="both"/>
              <w:rPr>
                <w:rFonts w:ascii="Trebuchet MS" w:eastAsia="Trebuchet MS" w:hAnsi="Trebuchet MS" w:cs="Trebuchet MS"/>
                <w:sz w:val="20"/>
                <w:szCs w:val="20"/>
              </w:rPr>
            </w:pPr>
            <w:r>
              <w:rPr>
                <w:rFonts w:ascii="Trebuchet MS" w:eastAsia="Trebuchet MS" w:hAnsi="Trebuchet MS" w:cs="Trebuchet MS"/>
                <w:sz w:val="20"/>
                <w:szCs w:val="20"/>
              </w:rPr>
              <w:t>Patrimoine / tourisme/ conflit/conflit d’usage/</w:t>
            </w:r>
            <w:r w:rsidR="004E575B">
              <w:rPr>
                <w:rFonts w:ascii="Trebuchet MS" w:eastAsia="Trebuchet MS" w:hAnsi="Trebuchet MS" w:cs="Trebuchet MS"/>
                <w:sz w:val="20"/>
                <w:szCs w:val="20"/>
              </w:rPr>
              <w:t>gentrification/</w:t>
            </w:r>
            <w:r>
              <w:rPr>
                <w:rFonts w:ascii="Trebuchet MS" w:eastAsia="Trebuchet MS" w:hAnsi="Trebuchet MS" w:cs="Trebuchet MS"/>
                <w:sz w:val="20"/>
                <w:szCs w:val="20"/>
              </w:rPr>
              <w:t xml:space="preserve"> </w:t>
            </w:r>
            <w:r w:rsidR="004E575B">
              <w:rPr>
                <w:rFonts w:ascii="Trebuchet MS" w:eastAsia="Trebuchet MS" w:hAnsi="Trebuchet MS" w:cs="Trebuchet MS"/>
                <w:sz w:val="20"/>
                <w:szCs w:val="20"/>
              </w:rPr>
              <w:t>muséification/</w:t>
            </w:r>
            <w:r>
              <w:rPr>
                <w:rFonts w:ascii="Trebuchet MS" w:eastAsia="Trebuchet MS" w:hAnsi="Trebuchet MS" w:cs="Trebuchet MS"/>
                <w:sz w:val="20"/>
                <w:szCs w:val="20"/>
              </w:rPr>
              <w:t xml:space="preserve"> gouvernance/ islamisme/ enjeu / identité/ valorisation/ protection/urbanisme/riverain/islam soufi/salafisme</w:t>
            </w:r>
          </w:p>
        </w:tc>
      </w:tr>
      <w:tr w:rsidR="00392600" w14:paraId="0FC260DA" w14:textId="77777777">
        <w:tc>
          <w:tcPr>
            <w:tcW w:w="2343" w:type="dxa"/>
            <w:tcBorders>
              <w:left w:val="single" w:sz="4" w:space="0" w:color="000000"/>
              <w:bottom w:val="single" w:sz="4" w:space="0" w:color="000000"/>
            </w:tcBorders>
            <w:vAlign w:val="center"/>
          </w:tcPr>
          <w:p w14:paraId="30434135"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Documents proposés à l'exploitation pédagogique</w:t>
            </w:r>
          </w:p>
        </w:tc>
        <w:tc>
          <w:tcPr>
            <w:tcW w:w="13340" w:type="dxa"/>
            <w:tcBorders>
              <w:left w:val="single" w:sz="4" w:space="0" w:color="000000"/>
              <w:bottom w:val="single" w:sz="4" w:space="0" w:color="000000"/>
              <w:right w:val="single" w:sz="4" w:space="0" w:color="000000"/>
            </w:tcBorders>
            <w:vAlign w:val="center"/>
          </w:tcPr>
          <w:p w14:paraId="1F295584" w14:textId="77777777" w:rsidR="00392600" w:rsidRDefault="00F35C3F">
            <w:pPr>
              <w:ind w:left="0" w:hanging="2"/>
              <w:rPr>
                <w:rFonts w:ascii="Trebuchet MS" w:eastAsia="Trebuchet MS" w:hAnsi="Trebuchet MS" w:cs="Trebuchet MS"/>
                <w:sz w:val="20"/>
                <w:szCs w:val="20"/>
              </w:rPr>
            </w:pPr>
            <w:r>
              <w:rPr>
                <w:rFonts w:ascii="Trebuchet MS" w:eastAsia="Trebuchet MS" w:hAnsi="Trebuchet MS" w:cs="Trebuchet MS"/>
                <w:sz w:val="20"/>
                <w:szCs w:val="20"/>
              </w:rPr>
              <w:t>Textes, documents iconographiques, site internet, vidéos, webdocumentaire.</w:t>
            </w:r>
          </w:p>
        </w:tc>
      </w:tr>
      <w:tr w:rsidR="00392600" w14:paraId="166F75B7" w14:textId="77777777">
        <w:tc>
          <w:tcPr>
            <w:tcW w:w="2343" w:type="dxa"/>
            <w:tcBorders>
              <w:left w:val="single" w:sz="4" w:space="0" w:color="000000"/>
              <w:bottom w:val="single" w:sz="4" w:space="0" w:color="000000"/>
            </w:tcBorders>
            <w:vAlign w:val="center"/>
          </w:tcPr>
          <w:p w14:paraId="2F0A5201"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Pistes d'évaluation en fonction des capacités</w:t>
            </w:r>
          </w:p>
        </w:tc>
        <w:tc>
          <w:tcPr>
            <w:tcW w:w="13340" w:type="dxa"/>
            <w:tcBorders>
              <w:left w:val="single" w:sz="4" w:space="0" w:color="000000"/>
              <w:bottom w:val="single" w:sz="4" w:space="0" w:color="000000"/>
              <w:right w:val="single" w:sz="4" w:space="0" w:color="000000"/>
            </w:tcBorders>
            <w:vAlign w:val="center"/>
          </w:tcPr>
          <w:p w14:paraId="39F8BCCA" w14:textId="77777777" w:rsidR="00392600" w:rsidRDefault="00F35C3F">
            <w:pPr>
              <w:ind w:left="0" w:hanging="2"/>
              <w:rPr>
                <w:rFonts w:ascii="Trebuchet MS" w:eastAsia="Trebuchet MS" w:hAnsi="Trebuchet MS" w:cs="Trebuchet MS"/>
                <w:sz w:val="20"/>
                <w:szCs w:val="20"/>
              </w:rPr>
            </w:pPr>
            <w:r>
              <w:rPr>
                <w:rFonts w:ascii="Trebuchet MS" w:eastAsia="Trebuchet MS" w:hAnsi="Trebuchet MS" w:cs="Trebuchet MS"/>
                <w:sz w:val="20"/>
                <w:szCs w:val="20"/>
              </w:rPr>
              <w:t>Devoir Maison</w:t>
            </w:r>
          </w:p>
        </w:tc>
      </w:tr>
      <w:tr w:rsidR="00392600" w:rsidRPr="00D0121A" w14:paraId="2BD5B81A" w14:textId="77777777">
        <w:tc>
          <w:tcPr>
            <w:tcW w:w="2343" w:type="dxa"/>
            <w:tcBorders>
              <w:left w:val="single" w:sz="4" w:space="0" w:color="000000"/>
              <w:bottom w:val="single" w:sz="4" w:space="0" w:color="000000"/>
            </w:tcBorders>
            <w:vAlign w:val="center"/>
          </w:tcPr>
          <w:p w14:paraId="4D03A946" w14:textId="77777777" w:rsidR="00392600" w:rsidRDefault="00F35C3F">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Indications bibliographiques et sitographiques</w:t>
            </w:r>
          </w:p>
        </w:tc>
        <w:tc>
          <w:tcPr>
            <w:tcW w:w="13340" w:type="dxa"/>
            <w:tcBorders>
              <w:left w:val="single" w:sz="4" w:space="0" w:color="000000"/>
              <w:bottom w:val="single" w:sz="4" w:space="0" w:color="000000"/>
              <w:right w:val="single" w:sz="4" w:space="0" w:color="000000"/>
            </w:tcBorders>
            <w:vAlign w:val="center"/>
          </w:tcPr>
          <w:p w14:paraId="2081BA53" w14:textId="77777777" w:rsidR="00392600" w:rsidRPr="00D0121A" w:rsidRDefault="00F35C3F">
            <w:pPr>
              <w:ind w:left="0" w:hanging="2"/>
              <w:rPr>
                <w:rFonts w:ascii="Trebuchet MS" w:eastAsia="Trebuchet MS" w:hAnsi="Trebuchet MS" w:cs="Trebuchet MS"/>
                <w:sz w:val="20"/>
                <w:szCs w:val="20"/>
                <w:highlight w:val="yellow"/>
                <w:lang w:val="en-US"/>
              </w:rPr>
            </w:pPr>
            <w:r>
              <w:rPr>
                <w:rFonts w:ascii="Verdana" w:eastAsia="Verdana" w:hAnsi="Verdana" w:cs="Verdana"/>
                <w:color w:val="000000"/>
                <w:sz w:val="16"/>
                <w:szCs w:val="16"/>
                <w:highlight w:val="white"/>
              </w:rPr>
              <w:t>Marie Cornu, Manlio Frigo, Maria Teresa Grassi, Alba Irollo et Brent Patterson, « Préservations et destructions en temps de guerre », </w:t>
            </w:r>
            <w:r>
              <w:rPr>
                <w:rFonts w:ascii="Verdana" w:eastAsia="Verdana" w:hAnsi="Verdana" w:cs="Verdana"/>
                <w:i/>
                <w:color w:val="000000"/>
                <w:sz w:val="16"/>
                <w:szCs w:val="16"/>
                <w:highlight w:val="white"/>
              </w:rPr>
              <w:t>Perspective</w:t>
            </w:r>
            <w:r>
              <w:rPr>
                <w:rFonts w:ascii="Verdana" w:eastAsia="Verdana" w:hAnsi="Verdana" w:cs="Verdana"/>
                <w:color w:val="000000"/>
                <w:sz w:val="16"/>
                <w:szCs w:val="16"/>
                <w:highlight w:val="white"/>
              </w:rPr>
              <w:t> [En ligne], 2 | 2018, mis en ligne le 30 juin 2019, consulté le 12 août 2020. </w:t>
            </w:r>
            <w:r w:rsidRPr="00D0121A">
              <w:rPr>
                <w:rFonts w:ascii="Verdana" w:eastAsia="Verdana" w:hAnsi="Verdana" w:cs="Verdana"/>
                <w:color w:val="000000"/>
                <w:sz w:val="16"/>
                <w:szCs w:val="16"/>
                <w:highlight w:val="white"/>
                <w:lang w:val="en-US"/>
              </w:rPr>
              <w:t>URL : http://journals.openedition.org/perspective/11106 ; DOI : https://doi.org/10.4000/perspective.11106</w:t>
            </w:r>
          </w:p>
        </w:tc>
      </w:tr>
    </w:tbl>
    <w:p w14:paraId="41048EE5" w14:textId="77777777" w:rsidR="00392600" w:rsidRPr="00D0121A" w:rsidRDefault="00392600">
      <w:pPr>
        <w:ind w:left="0" w:hanging="2"/>
        <w:jc w:val="center"/>
        <w:rPr>
          <w:rFonts w:ascii="Trebuchet MS" w:eastAsia="Trebuchet MS" w:hAnsi="Trebuchet MS" w:cs="Trebuchet MS"/>
          <w:lang w:val="en-US"/>
        </w:rPr>
      </w:pPr>
    </w:p>
    <w:p w14:paraId="66EAABAC" w14:textId="77777777" w:rsidR="00392600" w:rsidRPr="00D0121A" w:rsidRDefault="00392600">
      <w:pPr>
        <w:ind w:left="0" w:hanging="2"/>
        <w:jc w:val="center"/>
        <w:rPr>
          <w:rFonts w:ascii="Trebuchet MS" w:eastAsia="Trebuchet MS" w:hAnsi="Trebuchet MS" w:cs="Trebuchet MS"/>
          <w:lang w:val="en-US"/>
        </w:rPr>
      </w:pPr>
    </w:p>
    <w:sectPr w:rsidR="00392600" w:rsidRPr="00D0121A">
      <w:pgSz w:w="16837" w:h="11905"/>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tarSymbo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0235"/>
    <w:multiLevelType w:val="multilevel"/>
    <w:tmpl w:val="B6E873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2235FEB"/>
    <w:multiLevelType w:val="multilevel"/>
    <w:tmpl w:val="10D07244"/>
    <w:lvl w:ilvl="0">
      <w:start w:val="391267344"/>
      <w:numFmt w:val="upperRoman"/>
      <w:lvlText w:val="%1."/>
      <w:lvlJc w:val="righ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00"/>
    <w:rsid w:val="00392600"/>
    <w:rsid w:val="004E575B"/>
    <w:rsid w:val="00D0121A"/>
    <w:rsid w:val="00F35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D3D2151"/>
  <w15:docId w15:val="{1DEC6882-836E-2546-B2A5-EAD61F01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noProof/>
      <w:kern w:val="1"/>
      <w:position w:val="-1"/>
      <w:lang w:bidi="hi-IN"/>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Policepardfaut1">
    <w:name w:val="Police par défaut1"/>
    <w:rPr>
      <w:w w:val="100"/>
      <w:position w:val="-1"/>
      <w:effect w:val="none"/>
      <w:vertAlign w:val="baseline"/>
      <w:cs w:val="0"/>
      <w:em w:val="none"/>
    </w:rPr>
  </w:style>
  <w:style w:type="character" w:styleId="Lienhypertexte">
    <w:name w:val="Hyperlink"/>
    <w:basedOn w:val="Policepardfaut1"/>
    <w:rPr>
      <w:w w:val="100"/>
      <w:position w:val="-1"/>
      <w:effect w:val="none"/>
      <w:vertAlign w:val="baseline"/>
      <w:cs w:val="0"/>
      <w:em w:val="none"/>
    </w:rPr>
  </w:style>
  <w:style w:type="character" w:customStyle="1" w:styleId="WW8Num2z0">
    <w:name w:val="WW8Num2z0"/>
    <w:rPr>
      <w:rFonts w:ascii="Symbol" w:hAnsi="Symbol"/>
      <w:w w:val="100"/>
      <w:position w:val="-1"/>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character" w:styleId="Lienhypertextesuivivisit">
    <w:name w:val="FollowedHyperlink"/>
    <w:rPr>
      <w:w w:val="100"/>
      <w:position w:val="-1"/>
      <w:effect w:val="none"/>
      <w:vertAlign w:val="baseline"/>
      <w:cs w:val="0"/>
      <w:em w:val="none"/>
    </w:rPr>
  </w:style>
  <w:style w:type="character" w:customStyle="1" w:styleId="Puces">
    <w:name w:val="Puces"/>
    <w:rPr>
      <w:rFonts w:ascii="StarSymbol" w:eastAsia="StarSymbol" w:hAnsi="StarSymbol" w:cs="StarSymbol"/>
      <w:w w:val="100"/>
      <w:position w:val="-1"/>
      <w:sz w:val="18"/>
      <w:szCs w:val="18"/>
      <w:effect w:val="none"/>
      <w:vertAlign w:val="baseline"/>
      <w:cs w:val="0"/>
      <w:em w:val="none"/>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customStyle="1" w:styleId="Contenudetableau">
    <w:name w:val="Contenu de tableau"/>
    <w:basedOn w:val="Normal"/>
    <w:pPr>
      <w:suppressLineNumbers/>
    </w:pPr>
  </w:style>
  <w:style w:type="paragraph" w:customStyle="1" w:styleId="WW-Standard">
    <w:name w:val="WW-Standard"/>
    <w:pPr>
      <w:spacing w:line="1" w:lineRule="atLeast"/>
      <w:ind w:leftChars="-1" w:left="-1" w:hangingChars="1"/>
      <w:textDirection w:val="btLr"/>
      <w:textAlignment w:val="baseline"/>
      <w:outlineLvl w:val="0"/>
    </w:pPr>
    <w:rPr>
      <w:noProof/>
      <w:kern w:val="1"/>
      <w:position w:val="-1"/>
      <w:lang w:bidi="hi-IN"/>
    </w:rPr>
  </w:style>
  <w:style w:type="paragraph" w:customStyle="1" w:styleId="Titredetableau">
    <w:name w:val="Titre de tableau"/>
    <w:basedOn w:val="Contenudetableau"/>
    <w:pPr>
      <w:jc w:val="center"/>
    </w:pPr>
    <w:rPr>
      <w:b/>
      <w:bCs/>
    </w:rPr>
  </w:style>
  <w:style w:type="paragraph" w:styleId="NormalWeb">
    <w:name w:val="Normal (Web)"/>
    <w:basedOn w:val="Normal"/>
    <w:qFormat/>
    <w:pPr>
      <w:widowControl/>
      <w:suppressAutoHyphens/>
      <w:spacing w:before="100" w:beforeAutospacing="1" w:after="100" w:afterAutospacing="1"/>
    </w:pPr>
    <w:rPr>
      <w:noProof w:val="0"/>
      <w:kern w:val="0"/>
      <w:lang w:bidi="ar-SA"/>
    </w:rPr>
  </w:style>
  <w:style w:type="character" w:styleId="Mentionnonrsolue">
    <w:name w:val="Unresolved Mention"/>
    <w:qFormat/>
    <w:rPr>
      <w:color w:val="605E5C"/>
      <w:w w:val="100"/>
      <w:position w:val="-1"/>
      <w:effect w:val="none"/>
      <w:shd w:val="clear" w:color="auto" w:fill="E1DFDD"/>
      <w:vertAlign w:val="baseline"/>
      <w:cs w:val="0"/>
      <w:em w:val="none"/>
    </w:rPr>
  </w:style>
  <w:style w:type="character" w:customStyle="1" w:styleId="text">
    <w:name w:val="text"/>
    <w:rPr>
      <w:w w:val="100"/>
      <w:position w:val="-1"/>
      <w:effect w:val="none"/>
      <w:vertAlign w:val="baseline"/>
      <w:cs w:val="0"/>
      <w:em w:val="none"/>
    </w:rPr>
  </w:style>
  <w:style w:type="character" w:styleId="lev">
    <w:name w:val="Strong"/>
    <w:rPr>
      <w:b/>
      <w:bCs/>
      <w:w w:val="100"/>
      <w:position w:val="-1"/>
      <w:effect w:val="none"/>
      <w:vertAlign w:val="baseline"/>
      <w:cs w:val="0"/>
      <w:em w:val="none"/>
    </w:rPr>
  </w:style>
  <w:style w:type="character" w:customStyle="1" w:styleId="familyname">
    <w:name w:val="familyname"/>
    <w:rPr>
      <w:w w:val="100"/>
      <w:position w:val="-1"/>
      <w:effect w:val="none"/>
      <w:vertAlign w:val="baseline"/>
      <w:cs w:val="0"/>
      <w:em w:val="none"/>
    </w:rPr>
  </w:style>
  <w:style w:type="character" w:styleId="Accentuation">
    <w:name w:val="Emphasis"/>
    <w:rPr>
      <w:i/>
      <w:iCs/>
      <w:w w:val="100"/>
      <w:position w:val="-1"/>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1B9WYoplo4kgHyl9Pvr9XiO1g==">AMUW2mV3grn9U4LD/xlTpBK2SKEOP1uBpgArrz3tZ6qijML4JgO40uE5xRTUk15NbcarEwtuthOa/85CsF7X0cEv40m/jpiWUZD5cXeBcAjtkvkweGQAQsw=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3551</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Gland</dc:creator>
  <cp:lastModifiedBy>GIRARD Vincent</cp:lastModifiedBy>
  <cp:revision>4</cp:revision>
  <dcterms:created xsi:type="dcterms:W3CDTF">2020-06-02T10:43:00Z</dcterms:created>
  <dcterms:modified xsi:type="dcterms:W3CDTF">2020-10-05T11:29:00Z</dcterms:modified>
</cp:coreProperties>
</file>