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152"/>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CE08DE">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CE08DE" w:rsidRDefault="00FA6E9C">
            <w:pPr>
              <w:spacing w:after="0"/>
              <w:ind w:left="12"/>
            </w:pPr>
            <w:r>
              <w:rPr>
                <w:noProof/>
              </w:rPr>
              <mc:AlternateContent>
                <mc:Choice Requires="wpg">
                  <w:drawing>
                    <wp:inline distT="0" distB="0" distL="0" distR="0">
                      <wp:extent cx="591740" cy="346768"/>
                      <wp:effectExtent l="0" t="0" r="0" b="0"/>
                      <wp:docPr id="3798" name="Group 3798"/>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05" name="Shape 4205"/>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798"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4206"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CE08DE">
        <w:trPr>
          <w:trHeight w:val="1043"/>
        </w:trPr>
        <w:tc>
          <w:tcPr>
            <w:tcW w:w="1315" w:type="dxa"/>
            <w:tcBorders>
              <w:top w:val="single" w:sz="4" w:space="0" w:color="181717"/>
              <w:left w:val="single" w:sz="4" w:space="0" w:color="181717"/>
              <w:bottom w:val="single" w:sz="4" w:space="0" w:color="181717"/>
              <w:right w:val="single" w:sz="4" w:space="0" w:color="181717"/>
            </w:tcBorders>
          </w:tcPr>
          <w:p w:rsidR="00CE08DE" w:rsidRDefault="00FA6E9C">
            <w:pPr>
              <w:spacing w:after="0"/>
            </w:pPr>
            <w:r>
              <w:rPr>
                <w:noProof/>
              </w:rPr>
              <mc:AlternateContent>
                <mc:Choice Requires="wpg">
                  <w:drawing>
                    <wp:inline distT="0" distB="0" distL="0" distR="0">
                      <wp:extent cx="610210" cy="493177"/>
                      <wp:effectExtent l="0" t="0" r="0" b="0"/>
                      <wp:docPr id="3802" name="Group 3802"/>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802"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CE08DE" w:rsidRDefault="00FA6E9C">
      <w:pPr>
        <w:spacing w:after="0" w:line="274" w:lineRule="auto"/>
        <w:ind w:left="226" w:right="59" w:firstLine="2041"/>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-98414</wp:posOffset>
                </wp:positionV>
                <wp:extent cx="8800199" cy="1544257"/>
                <wp:effectExtent l="0" t="0" r="0" b="0"/>
                <wp:wrapNone/>
                <wp:docPr id="3806" name="Group 3806"/>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4207" name="Shape 4207"/>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4208" name="Shape 4208"/>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09" name="Shape 4209"/>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06" style="width:692.929pt;height:121.595pt;position:absolute;z-index:-2147483622;mso-position-horizontal-relative:text;mso-position-horizontal:absolute;margin-left:83.5513pt;mso-position-vertical-relative:text;margin-top:-7.74921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4210" style="position:absolute;width:87822;height:7693;left:179;top:4590;" coordsize="8782203,769353" path="m0,0l8782203,0l8782203,769353l0,769353l0,0">
                  <v:stroke weight="0pt" endcap="flat" joinstyle="miter" miterlimit="10" on="false" color="#000000" opacity="0"/>
                  <v:fill on="true" color="#4db091"/>
                </v:shape>
                <v:shape id="Shape 4211"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4212"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rPr>
          <w:b/>
          <w:color w:val="583F82"/>
          <w:sz w:val="15"/>
        </w:rPr>
        <w:t xml:space="preserve">Informer et accompagner  </w:t>
      </w:r>
      <w:r>
        <w:rPr>
          <w:b/>
          <w:color w:val="583F82"/>
          <w:sz w:val="15"/>
        </w:rPr>
        <w:tab/>
      </w:r>
      <w:r>
        <w:rPr>
          <w:b/>
          <w:color w:val="FFFEFD"/>
          <w:sz w:val="41"/>
        </w:rPr>
        <w:t xml:space="preserve">2 3 4 </w:t>
      </w:r>
      <w:r>
        <w:rPr>
          <w:b/>
          <w:color w:val="583F82"/>
          <w:sz w:val="15"/>
        </w:rPr>
        <w:t>les professionnels de l’éducation</w:t>
      </w:r>
      <w:r>
        <w:rPr>
          <w:b/>
          <w:color w:val="583F82"/>
          <w:sz w:val="15"/>
        </w:rPr>
        <w:tab/>
      </w:r>
      <w:r>
        <w:rPr>
          <w:b/>
          <w:color w:val="FFFEFD"/>
          <w:sz w:val="36"/>
        </w:rPr>
        <w:t xml:space="preserve">CYCLES </w:t>
      </w:r>
      <w:r>
        <w:rPr>
          <w:b/>
          <w:color w:val="FFFEFD"/>
          <w:sz w:val="46"/>
        </w:rPr>
        <w:t>ÉDUCATION PHYSIQUE ET SPORTIVE</w:t>
      </w:r>
    </w:p>
    <w:p w:rsidR="00CE08DE" w:rsidRDefault="00FA6E9C">
      <w:pPr>
        <w:pStyle w:val="Titre1"/>
      </w:pPr>
      <w:r>
        <w:t>Les ressources pour construire l’enseignement</w:t>
      </w:r>
    </w:p>
    <w:p w:rsidR="00CE08DE" w:rsidRDefault="00FA6E9C">
      <w:pPr>
        <w:spacing w:after="468"/>
        <w:ind w:left="2280"/>
      </w:pPr>
      <w:r>
        <w:rPr>
          <w:b/>
          <w:color w:val="4DB091"/>
          <w:sz w:val="24"/>
        </w:rPr>
        <w:t>Champ d’apprentissage « Conduire et maitriser un affrontement collectif ou interindividuel »</w:t>
      </w:r>
    </w:p>
    <w:p w:rsidR="00CE08DE" w:rsidRDefault="00FA6E9C">
      <w:pPr>
        <w:spacing w:after="251"/>
        <w:ind w:left="1952"/>
        <w:jc w:val="center"/>
      </w:pPr>
      <w:r>
        <w:rPr>
          <w:b/>
          <w:color w:val="3F7D8D"/>
          <w:sz w:val="42"/>
        </w:rPr>
        <w:t>La démarche en EPS</w:t>
      </w:r>
    </w:p>
    <w:p w:rsidR="00CE08DE" w:rsidRDefault="00FA6E9C">
      <w:pPr>
        <w:spacing w:after="0" w:line="248" w:lineRule="auto"/>
        <w:ind w:left="1694" w:hanging="10"/>
      </w:pPr>
      <w:r>
        <w:rPr>
          <w:b/>
          <w:color w:val="4DB091"/>
          <w:sz w:val="32"/>
        </w:rPr>
        <w:t>Enseigner en EPS c’est offrir dans chaque leçon ou séance l’accès à deux types d’acquisitions en lien avec le socle</w:t>
      </w:r>
    </w:p>
    <w:p w:rsidR="00CE08DE" w:rsidRDefault="00FA6E9C">
      <w:pPr>
        <w:spacing w:after="0"/>
        <w:ind w:left="1699"/>
      </w:pPr>
      <w:r>
        <w:rPr>
          <w:b/>
          <w:color w:val="181717"/>
          <w:sz w:val="20"/>
        </w:rPr>
        <w:t>Des compétences générales pour contribuer à l’acquisition du socle :</w:t>
      </w:r>
    </w:p>
    <w:p w:rsidR="00CE08DE" w:rsidRDefault="00FA6E9C">
      <w:pPr>
        <w:numPr>
          <w:ilvl w:val="0"/>
          <w:numId w:val="1"/>
        </w:numPr>
        <w:spacing w:after="3" w:line="257" w:lineRule="auto"/>
        <w:ind w:right="162" w:hanging="170"/>
        <w:jc w:val="both"/>
      </w:pPr>
      <w:r>
        <w:rPr>
          <w:color w:val="181717"/>
          <w:sz w:val="20"/>
        </w:rPr>
        <w:t>développer sa motricité et apprendre à s’exprimer en</w:t>
      </w:r>
      <w:r>
        <w:rPr>
          <w:color w:val="181717"/>
          <w:sz w:val="20"/>
        </w:rPr>
        <w:t xml:space="preserve"> utilisant son corps ;</w:t>
      </w:r>
    </w:p>
    <w:p w:rsidR="00CE08DE" w:rsidRDefault="00FA6E9C">
      <w:pPr>
        <w:numPr>
          <w:ilvl w:val="0"/>
          <w:numId w:val="1"/>
        </w:numPr>
        <w:spacing w:after="3" w:line="257" w:lineRule="auto"/>
        <w:ind w:right="162" w:hanging="170"/>
        <w:jc w:val="both"/>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3807" name="Group 3807"/>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3946" name="Picture 3946"/>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3807"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3946" style="position:absolute;width:2560;height:1524;left:4161;top:-19;" filled="f">
                  <v:imagedata r:id="rId14"/>
                </v:shape>
                <w10:wrap type="topAndBottom"/>
              </v:group>
            </w:pict>
          </mc:Fallback>
        </mc:AlternateContent>
      </w:r>
      <w:r>
        <w:rPr>
          <w:color w:val="181717"/>
          <w:sz w:val="20"/>
        </w:rPr>
        <w:t>s’approprier, par la pratique physique et sportive, des méthodes et des outils ;</w:t>
      </w:r>
    </w:p>
    <w:p w:rsidR="00CE08DE" w:rsidRDefault="00FA6E9C">
      <w:pPr>
        <w:numPr>
          <w:ilvl w:val="0"/>
          <w:numId w:val="1"/>
        </w:numPr>
        <w:spacing w:after="3" w:line="257" w:lineRule="auto"/>
        <w:ind w:right="162" w:hanging="170"/>
        <w:jc w:val="both"/>
      </w:pPr>
      <w:r>
        <w:rPr>
          <w:color w:val="181717"/>
          <w:sz w:val="20"/>
        </w:rPr>
        <w:t xml:space="preserve">partager des règles, assumer des rôles et des responsabilités ; </w:t>
      </w:r>
      <w:r>
        <w:rPr>
          <w:color w:val="3F7D8D"/>
          <w:sz w:val="20"/>
        </w:rPr>
        <w:t>•</w:t>
      </w:r>
      <w:r>
        <w:rPr>
          <w:color w:val="3F7D8D"/>
          <w:sz w:val="20"/>
        </w:rPr>
        <w:tab/>
      </w:r>
      <w:r>
        <w:rPr>
          <w:color w:val="181717"/>
          <w:sz w:val="20"/>
        </w:rPr>
        <w:t>apprendre à entretenir sa santé par une activité physique régulière ;</w:t>
      </w:r>
    </w:p>
    <w:p w:rsidR="00CE08DE" w:rsidRDefault="00FA6E9C">
      <w:pPr>
        <w:numPr>
          <w:ilvl w:val="0"/>
          <w:numId w:val="1"/>
        </w:numPr>
        <w:spacing w:after="111" w:line="257" w:lineRule="auto"/>
        <w:ind w:right="162" w:hanging="170"/>
        <w:jc w:val="both"/>
      </w:pPr>
      <w:r>
        <w:rPr>
          <w:color w:val="181717"/>
          <w:sz w:val="20"/>
        </w:rPr>
        <w:t>s’approprier une culture physique sportive et artistique.</w:t>
      </w:r>
    </w:p>
    <w:p w:rsidR="00CE08DE" w:rsidRDefault="00FA6E9C">
      <w:pPr>
        <w:spacing w:after="3" w:line="257" w:lineRule="auto"/>
        <w:ind w:left="1694" w:right="162" w:hanging="10"/>
        <w:jc w:val="both"/>
      </w:pPr>
      <w:r>
        <w:rPr>
          <w:color w:val="181717"/>
          <w:sz w:val="20"/>
        </w:rPr>
        <w:t>Pour développer ces compétences générales, l’éducation physique et sportive propose à tous les élèves, de l’école au collège, un parcours de formation constitué de quatre champs d’apprentissage comp</w:t>
      </w:r>
      <w:r>
        <w:rPr>
          <w:color w:val="181717"/>
          <w:sz w:val="20"/>
        </w:rPr>
        <w:t xml:space="preserve">lémentaires permettant d’acquérir </w:t>
      </w:r>
      <w:r>
        <w:rPr>
          <w:b/>
          <w:color w:val="181717"/>
          <w:sz w:val="20"/>
        </w:rPr>
        <w:t>les connaissances et compétences liées aux quatre champs d’apprentissage :</w:t>
      </w:r>
    </w:p>
    <w:p w:rsidR="00CE08DE" w:rsidRDefault="00FA6E9C">
      <w:pPr>
        <w:numPr>
          <w:ilvl w:val="0"/>
          <w:numId w:val="1"/>
        </w:numPr>
        <w:spacing w:after="3" w:line="257" w:lineRule="auto"/>
        <w:ind w:right="162" w:hanging="170"/>
        <w:jc w:val="both"/>
      </w:pPr>
      <w:r>
        <w:rPr>
          <w:color w:val="181717"/>
          <w:sz w:val="20"/>
        </w:rPr>
        <w:t>produire une performance optimale, mesurable à une échéance donnée ;</w:t>
      </w:r>
    </w:p>
    <w:p w:rsidR="00CE08DE" w:rsidRDefault="00FA6E9C">
      <w:pPr>
        <w:numPr>
          <w:ilvl w:val="0"/>
          <w:numId w:val="1"/>
        </w:numPr>
        <w:spacing w:after="3" w:line="257" w:lineRule="auto"/>
        <w:ind w:right="162" w:hanging="170"/>
        <w:jc w:val="both"/>
      </w:pPr>
      <w:r>
        <w:rPr>
          <w:color w:val="181717"/>
          <w:sz w:val="20"/>
        </w:rPr>
        <w:t>adapter ses déplacements à des environnements variés ;</w:t>
      </w:r>
    </w:p>
    <w:p w:rsidR="00CE08DE" w:rsidRDefault="00FA6E9C">
      <w:pPr>
        <w:numPr>
          <w:ilvl w:val="0"/>
          <w:numId w:val="1"/>
        </w:numPr>
        <w:spacing w:after="103" w:line="257" w:lineRule="auto"/>
        <w:ind w:right="162" w:hanging="170"/>
        <w:jc w:val="both"/>
      </w:pPr>
      <w:r>
        <w:rPr>
          <w:color w:val="181717"/>
          <w:sz w:val="20"/>
        </w:rPr>
        <w:t>s’exprimer devant les a</w:t>
      </w:r>
      <w:r>
        <w:rPr>
          <w:color w:val="181717"/>
          <w:sz w:val="20"/>
        </w:rPr>
        <w:t xml:space="preserve">utres par une prestation artistique et / ou acrobatique ; </w:t>
      </w:r>
      <w:r>
        <w:rPr>
          <w:color w:val="3F7D8D"/>
          <w:sz w:val="20"/>
        </w:rPr>
        <w:t>•</w:t>
      </w:r>
      <w:r>
        <w:rPr>
          <w:color w:val="3F7D8D"/>
          <w:sz w:val="20"/>
        </w:rPr>
        <w:tab/>
      </w:r>
      <w:r>
        <w:rPr>
          <w:color w:val="181717"/>
          <w:sz w:val="20"/>
        </w:rPr>
        <w:t>conduire et maitriser un affrontement collectif ou interindividuel.</w:t>
      </w:r>
    </w:p>
    <w:p w:rsidR="00CE08DE" w:rsidRDefault="00FA6E9C">
      <w:pPr>
        <w:pStyle w:val="Titre2"/>
        <w:ind w:left="1694"/>
      </w:pPr>
      <w:r>
        <w:t>Enseigner en EPS c’est adapter les programmes aux contextes humain et matériel locaux, en concevant et mettant en œuvre collégia</w:t>
      </w:r>
      <w:r>
        <w:t>lement le projet pédagogique EPS</w:t>
      </w:r>
    </w:p>
    <w:p w:rsidR="00CE08DE" w:rsidRDefault="00FA6E9C">
      <w:pPr>
        <w:spacing w:after="511" w:line="256" w:lineRule="auto"/>
        <w:ind w:left="1699"/>
      </w:pPr>
      <w:r>
        <w:rPr>
          <w:color w:val="181717"/>
          <w:sz w:val="20"/>
        </w:rPr>
        <w:t>Mettre en œuvre les programmes et permettre l’accès à ces compétences se font dans le contexte de l’école et du collège.</w:t>
      </w:r>
      <w:r>
        <w:rPr>
          <w:b/>
          <w:color w:val="181717"/>
          <w:sz w:val="20"/>
        </w:rPr>
        <w:t xml:space="preserve"> C’est l’équipe qui décline les programmes en un projet pédagogique EPS</w:t>
      </w:r>
      <w:r>
        <w:rPr>
          <w:color w:val="181717"/>
          <w:sz w:val="20"/>
        </w:rPr>
        <w:t xml:space="preserve"> ajusté aux élèves concernés, au</w:t>
      </w:r>
      <w:r>
        <w:rPr>
          <w:color w:val="181717"/>
          <w:sz w:val="20"/>
        </w:rPr>
        <w:t xml:space="preserve">x projets de formation locaux (projet d’école et projet d’établissement), aux conditions matérielles d’enseignement (installations sportives). </w:t>
      </w:r>
    </w:p>
    <w:p w:rsidR="00CE08DE" w:rsidRDefault="00FA6E9C">
      <w:pPr>
        <w:spacing w:after="0"/>
      </w:pPr>
      <w:r>
        <w:rPr>
          <w:color w:val="181717"/>
          <w:sz w:val="11"/>
        </w:rPr>
        <w:t>Retrouvez Éduscol sur</w:t>
      </w:r>
    </w:p>
    <w:p w:rsidR="00CE08DE" w:rsidRDefault="00FA6E9C">
      <w:pPr>
        <w:pStyle w:val="Titre2"/>
        <w:ind w:left="1694"/>
      </w:pPr>
      <w:r>
        <w:lastRenderedPageBreak/>
        <w:t xml:space="preserve">Enseigner l’EPS c’est offrir aux élèves un parcours de formation équilibrant les quatre champs d’apprentissage Enseigner l’EPS c’est offrir à chaque élève un temps de pratique motrice long pour permettre les acquisitions </w:t>
      </w:r>
    </w:p>
    <w:p w:rsidR="00CE08DE" w:rsidRDefault="00FA6E9C">
      <w:pPr>
        <w:numPr>
          <w:ilvl w:val="0"/>
          <w:numId w:val="2"/>
        </w:numPr>
        <w:spacing w:after="3" w:line="257" w:lineRule="auto"/>
        <w:ind w:right="162" w:hanging="170"/>
        <w:jc w:val="both"/>
      </w:pPr>
      <w:r>
        <w:rPr>
          <w:color w:val="181717"/>
          <w:sz w:val="20"/>
        </w:rPr>
        <w:t>Des modules ou cycles d’apprentiss</w:t>
      </w:r>
      <w:r>
        <w:rPr>
          <w:color w:val="181717"/>
          <w:sz w:val="20"/>
        </w:rPr>
        <w:t xml:space="preserve">age d’au moins 6 à 7 leçons ou séances pour assurer un apprentissage d’au moins 10 h. </w:t>
      </w:r>
    </w:p>
    <w:p w:rsidR="00CE08DE" w:rsidRDefault="00FA6E9C">
      <w:pPr>
        <w:numPr>
          <w:ilvl w:val="0"/>
          <w:numId w:val="2"/>
        </w:numPr>
        <w:spacing w:after="361" w:line="257" w:lineRule="auto"/>
        <w:ind w:right="162" w:hanging="170"/>
        <w:jc w:val="both"/>
      </w:pPr>
      <w:r>
        <w:rPr>
          <w:color w:val="181717"/>
          <w:sz w:val="20"/>
        </w:rPr>
        <w:t>Des leçons ou séances fixant une acquisition et offrant un temps de pratique équivalent à 60 à 70 % du temps.</w:t>
      </w:r>
    </w:p>
    <w:p w:rsidR="00CE08DE" w:rsidRDefault="00FA6E9C">
      <w:pPr>
        <w:pStyle w:val="Titre2"/>
        <w:ind w:left="1694"/>
      </w:pPr>
      <w:r>
        <w:t>Enseigner l’EPS c’est offrir à chaque élève en début de mod</w:t>
      </w:r>
      <w:r>
        <w:t>ule ou de cycle d’apprentissage une évaluation qui témoigne de savoir-faire disponibles et de problèmes à résoudre ; en fin de module ou de cycle d’apprentissage une évaluation atteste des nouvelles connaissances et compétences</w:t>
      </w:r>
    </w:p>
    <w:p w:rsidR="00CE08DE" w:rsidRDefault="00FA6E9C">
      <w:pPr>
        <w:spacing w:after="235" w:line="257" w:lineRule="auto"/>
        <w:ind w:left="1694" w:right="162" w:hanging="10"/>
        <w:jc w:val="both"/>
      </w:pPr>
      <w:r>
        <w:rPr>
          <w:color w:val="3F7D8D"/>
          <w:sz w:val="20"/>
        </w:rPr>
        <w:t>•</w:t>
      </w:r>
      <w:r>
        <w:rPr>
          <w:color w:val="3F7D8D"/>
          <w:sz w:val="20"/>
        </w:rPr>
        <w:tab/>
      </w:r>
      <w:r>
        <w:rPr>
          <w:color w:val="181717"/>
          <w:sz w:val="20"/>
        </w:rPr>
        <w:t xml:space="preserve">Il faut s’appuyer sur une </w:t>
      </w:r>
      <w:r>
        <w:rPr>
          <w:color w:val="181717"/>
          <w:sz w:val="20"/>
        </w:rPr>
        <w:t>situation d’évaluation diagnostique que l’on peut également appeler situation complexe.</w:t>
      </w:r>
    </w:p>
    <w:p w:rsidR="00CE08DE" w:rsidRDefault="00FA6E9C">
      <w:pPr>
        <w:spacing w:after="220" w:line="248" w:lineRule="auto"/>
        <w:ind w:left="1694" w:hanging="10"/>
      </w:pPr>
      <w:r>
        <w:rPr>
          <w:b/>
          <w:color w:val="4DB091"/>
          <w:sz w:val="32"/>
        </w:rPr>
        <w:t>Aide méthodologique à la construction d’un module ou cycle d’apprentissage</w:t>
      </w:r>
    </w:p>
    <w:p w:rsidR="00CE08DE" w:rsidRDefault="00FA6E9C">
      <w:pPr>
        <w:pStyle w:val="Titre2"/>
        <w:ind w:left="1694"/>
      </w:pPr>
      <w:r>
        <w:t>Bâtir la trame d’un module ou cycle d’apprentissage de 10 à 12 heures de pratique</w:t>
      </w:r>
    </w:p>
    <w:p w:rsidR="00CE08DE" w:rsidRDefault="00FA6E9C">
      <w:pPr>
        <w:spacing w:after="55" w:line="257" w:lineRule="auto"/>
        <w:ind w:left="1694" w:right="162" w:hanging="10"/>
        <w:jc w:val="both"/>
      </w:pPr>
      <w:r>
        <w:rPr>
          <w:color w:val="181717"/>
          <w:sz w:val="20"/>
        </w:rPr>
        <w:t>C’est à par</w:t>
      </w:r>
      <w:r>
        <w:rPr>
          <w:color w:val="181717"/>
          <w:sz w:val="20"/>
        </w:rPr>
        <w:t>tir des choix réalisés dans le projet pédagogique EPS pour le cycle 3 que l’on retient pour le module ou cycle d’apprentissage :</w:t>
      </w:r>
    </w:p>
    <w:p w:rsidR="00CE08DE" w:rsidRDefault="00FA6E9C">
      <w:pPr>
        <w:numPr>
          <w:ilvl w:val="0"/>
          <w:numId w:val="3"/>
        </w:numPr>
        <w:spacing w:after="3" w:line="257" w:lineRule="auto"/>
        <w:ind w:right="162" w:hanging="170"/>
        <w:jc w:val="both"/>
      </w:pPr>
      <w:r>
        <w:rPr>
          <w:b/>
          <w:color w:val="181717"/>
          <w:sz w:val="20"/>
        </w:rPr>
        <w:t>La compétence dominante ou mineure du domaine du socle ou de la compétence générale</w:t>
      </w:r>
      <w:r>
        <w:rPr>
          <w:color w:val="181717"/>
          <w:sz w:val="20"/>
        </w:rPr>
        <w:t xml:space="preserve"> (exemple : Domaine 1 langage écrit pour les</w:t>
      </w:r>
      <w:r>
        <w:rPr>
          <w:color w:val="181717"/>
          <w:sz w:val="20"/>
        </w:rPr>
        <w:t xml:space="preserve"> consignes et langage du corps ; Domaine 2 apprendre par la compréhension individuelle et collective des consignes, par l’action et travailler en groupe ; Domaine 3 assurer les rôles d’arbitre (juge), de juge de table (marque) etc. et sous-rôles de partena</w:t>
      </w:r>
      <w:r>
        <w:rPr>
          <w:color w:val="181717"/>
          <w:sz w:val="20"/>
        </w:rPr>
        <w:t>ire, de non porteur de balle (appui, soutien), etc.</w:t>
      </w:r>
    </w:p>
    <w:p w:rsidR="00CE08DE" w:rsidRDefault="00FA6E9C">
      <w:pPr>
        <w:numPr>
          <w:ilvl w:val="0"/>
          <w:numId w:val="3"/>
        </w:numPr>
        <w:spacing w:after="3" w:line="257" w:lineRule="auto"/>
        <w:ind w:right="162" w:hanging="170"/>
        <w:jc w:val="both"/>
      </w:pPr>
      <w:r>
        <w:rPr>
          <w:b/>
          <w:color w:val="181717"/>
          <w:sz w:val="20"/>
        </w:rPr>
        <w:t>Le champ d’apprentissage CA 4 :</w:t>
      </w:r>
      <w:r>
        <w:rPr>
          <w:color w:val="181717"/>
          <w:sz w:val="20"/>
        </w:rPr>
        <w:t xml:space="preserve"> le ou les attendus de fin de cycle à atteindre pour ces 10 h ou 12 h de pratique.</w:t>
      </w:r>
    </w:p>
    <w:p w:rsidR="00CE08DE" w:rsidRDefault="00FA6E9C">
      <w:pPr>
        <w:numPr>
          <w:ilvl w:val="0"/>
          <w:numId w:val="3"/>
        </w:numPr>
        <w:spacing w:after="3" w:line="257" w:lineRule="auto"/>
        <w:ind w:right="162" w:hanging="170"/>
        <w:jc w:val="both"/>
      </w:pPr>
      <w:r>
        <w:rPr>
          <w:b/>
          <w:color w:val="181717"/>
          <w:sz w:val="20"/>
        </w:rPr>
        <w:t>L’APSA ou les APSA</w:t>
      </w:r>
      <w:r>
        <w:rPr>
          <w:color w:val="181717"/>
          <w:sz w:val="20"/>
        </w:rPr>
        <w:t xml:space="preserve"> parmi celles du projet.</w:t>
      </w:r>
    </w:p>
    <w:p w:rsidR="00CE08DE" w:rsidRDefault="00FA6E9C">
      <w:pPr>
        <w:numPr>
          <w:ilvl w:val="0"/>
          <w:numId w:val="3"/>
        </w:numPr>
        <w:spacing w:after="3" w:line="257" w:lineRule="auto"/>
        <w:ind w:right="162" w:hanging="170"/>
        <w:jc w:val="both"/>
      </w:pPr>
      <w:r>
        <w:rPr>
          <w:color w:val="181717"/>
          <w:sz w:val="20"/>
        </w:rPr>
        <w:t xml:space="preserve">Ce qu’il y a à apprendre : dans les tableaux « </w:t>
      </w:r>
      <w:r>
        <w:rPr>
          <w:color w:val="181717"/>
          <w:sz w:val="20"/>
        </w:rPr>
        <w:t>Les enjeux de formation », « L’explicitation des attendus de fin de cycle ».</w:t>
      </w:r>
    </w:p>
    <w:p w:rsidR="00CE08DE" w:rsidRDefault="00FA6E9C">
      <w:pPr>
        <w:numPr>
          <w:ilvl w:val="0"/>
          <w:numId w:val="3"/>
        </w:numPr>
        <w:spacing w:after="3" w:line="257" w:lineRule="auto"/>
        <w:ind w:right="162" w:hanging="170"/>
        <w:jc w:val="both"/>
      </w:pPr>
      <w:r>
        <w:rPr>
          <w:color w:val="181717"/>
          <w:sz w:val="20"/>
        </w:rPr>
        <w:t xml:space="preserve">Ce qu’il y a </w:t>
      </w:r>
      <w:r>
        <w:rPr>
          <w:b/>
          <w:color w:val="181717"/>
          <w:sz w:val="20"/>
        </w:rPr>
        <w:t>à évaluer.</w:t>
      </w:r>
    </w:p>
    <w:p w:rsidR="00CE08DE" w:rsidRDefault="00FA6E9C">
      <w:pPr>
        <w:pStyle w:val="Titre2"/>
        <w:ind w:left="1694"/>
      </w:pPr>
      <w:r>
        <w:t>Aide pour concevoir le module ou cycle d’apprentissage pour chaque leçon ou séance d’apprentissage du CA 4</w:t>
      </w:r>
    </w:p>
    <w:tbl>
      <w:tblPr>
        <w:tblStyle w:val="TableGrid"/>
        <w:tblW w:w="13813" w:type="dxa"/>
        <w:tblInd w:w="1701" w:type="dxa"/>
        <w:tblCellMar>
          <w:top w:w="0" w:type="dxa"/>
          <w:left w:w="170" w:type="dxa"/>
          <w:bottom w:w="0" w:type="dxa"/>
          <w:right w:w="133" w:type="dxa"/>
        </w:tblCellMar>
        <w:tblLook w:val="04A0" w:firstRow="1" w:lastRow="0" w:firstColumn="1" w:lastColumn="0" w:noHBand="0" w:noVBand="1"/>
      </w:tblPr>
      <w:tblGrid>
        <w:gridCol w:w="13813"/>
      </w:tblGrid>
      <w:tr w:rsidR="00CE08DE">
        <w:trPr>
          <w:trHeight w:val="1409"/>
        </w:trPr>
        <w:tc>
          <w:tcPr>
            <w:tcW w:w="13813" w:type="dxa"/>
            <w:tcBorders>
              <w:top w:val="single" w:sz="3" w:space="0" w:color="9CB2BA"/>
              <w:left w:val="single" w:sz="3" w:space="0" w:color="3F7D8D"/>
              <w:bottom w:val="single" w:sz="3" w:space="0" w:color="9CB2BA"/>
              <w:right w:val="single" w:sz="3" w:space="0" w:color="3F7D8D"/>
            </w:tcBorders>
            <w:vAlign w:val="center"/>
          </w:tcPr>
          <w:p w:rsidR="00CE08DE" w:rsidRDefault="00FA6E9C">
            <w:pPr>
              <w:spacing w:after="26"/>
            </w:pPr>
            <w:r>
              <w:rPr>
                <w:b/>
                <w:color w:val="181717"/>
                <w:sz w:val="16"/>
              </w:rPr>
              <w:t xml:space="preserve">L’APSA retenue : </w:t>
            </w:r>
          </w:p>
          <w:p w:rsidR="00CE08DE" w:rsidRDefault="00FA6E9C">
            <w:pPr>
              <w:spacing w:after="82"/>
            </w:pPr>
            <w:r>
              <w:rPr>
                <w:color w:val="181717"/>
                <w:sz w:val="16"/>
              </w:rPr>
              <w:t xml:space="preserve">L’activité physique retenue appartient nécessairement à celles identifiées par le </w:t>
            </w:r>
            <w:r>
              <w:rPr>
                <w:b/>
                <w:color w:val="181717"/>
                <w:sz w:val="16"/>
              </w:rPr>
              <w:t>projet pédagogique d’EPS</w:t>
            </w:r>
            <w:r>
              <w:rPr>
                <w:color w:val="181717"/>
                <w:sz w:val="16"/>
              </w:rPr>
              <w:t xml:space="preserve"> au titre de ce champ d’apprentissage. </w:t>
            </w:r>
          </w:p>
          <w:p w:rsidR="00CE08DE" w:rsidRDefault="00FA6E9C">
            <w:pPr>
              <w:spacing w:after="26"/>
            </w:pPr>
            <w:r>
              <w:rPr>
                <w:b/>
                <w:color w:val="181717"/>
                <w:sz w:val="16"/>
              </w:rPr>
              <w:t xml:space="preserve">Exemples pour le CA 4 : </w:t>
            </w:r>
          </w:p>
          <w:p w:rsidR="00CE08DE" w:rsidRDefault="00FA6E9C">
            <w:pPr>
              <w:spacing w:after="0"/>
              <w:ind w:right="429"/>
            </w:pPr>
            <w:r>
              <w:rPr>
                <w:color w:val="181717"/>
                <w:sz w:val="16"/>
              </w:rPr>
              <w:t>Activités collectives (jeux pré-sportifs, basket-ball , football, handball, rugby, balle-ovale, volley-ball), activités de raquette (toutes les raquettes, badminton, tennis de table, etc.),  activité de combat (toutes luttes, le judo, etc.).</w:t>
            </w:r>
          </w:p>
        </w:tc>
      </w:tr>
      <w:tr w:rsidR="00CE08DE">
        <w:trPr>
          <w:trHeight w:val="1296"/>
        </w:trPr>
        <w:tc>
          <w:tcPr>
            <w:tcW w:w="13813" w:type="dxa"/>
            <w:tcBorders>
              <w:top w:val="single" w:sz="3" w:space="0" w:color="9CB2BA"/>
              <w:left w:val="single" w:sz="3" w:space="0" w:color="3F7D8D"/>
              <w:bottom w:val="single" w:sz="3" w:space="0" w:color="9CB2BA"/>
              <w:right w:val="single" w:sz="3" w:space="0" w:color="3F7D8D"/>
            </w:tcBorders>
            <w:vAlign w:val="center"/>
          </w:tcPr>
          <w:p w:rsidR="00CE08DE" w:rsidRDefault="00FA6E9C">
            <w:pPr>
              <w:spacing w:after="26"/>
            </w:pPr>
            <w:r>
              <w:rPr>
                <w:b/>
                <w:color w:val="181717"/>
                <w:sz w:val="16"/>
              </w:rPr>
              <w:lastRenderedPageBreak/>
              <w:t xml:space="preserve">Ce qu’il y a </w:t>
            </w:r>
            <w:r>
              <w:rPr>
                <w:b/>
                <w:color w:val="181717"/>
                <w:sz w:val="16"/>
              </w:rPr>
              <w:t xml:space="preserve">à apprendre : </w:t>
            </w:r>
          </w:p>
          <w:p w:rsidR="00CE08DE" w:rsidRDefault="00FA6E9C">
            <w:pPr>
              <w:spacing w:after="57" w:line="221" w:lineRule="auto"/>
            </w:pPr>
            <w:r>
              <w:rPr>
                <w:color w:val="181717"/>
                <w:sz w:val="16"/>
              </w:rPr>
              <w:t xml:space="preserve">Il s’agit de déterminer des </w:t>
            </w:r>
            <w:r>
              <w:rPr>
                <w:b/>
                <w:color w:val="181717"/>
                <w:sz w:val="16"/>
              </w:rPr>
              <w:t>« acquisitions prioritaires »</w:t>
            </w:r>
            <w:r>
              <w:rPr>
                <w:color w:val="181717"/>
                <w:sz w:val="16"/>
              </w:rPr>
              <w:t xml:space="preserve"> permettant d’atteindre les différents</w:t>
            </w:r>
            <w:r>
              <w:rPr>
                <w:b/>
                <w:color w:val="181717"/>
                <w:sz w:val="16"/>
              </w:rPr>
              <w:t xml:space="preserve"> « attendus de fin de cycle 3 »</w:t>
            </w:r>
            <w:r>
              <w:rPr>
                <w:color w:val="181717"/>
                <w:sz w:val="16"/>
              </w:rPr>
              <w:t xml:space="preserve"> dans le champ d’apprentissage. Elles sont envisageables pour un premier (ou un deuxième) module ou cycle d’apprent</w:t>
            </w:r>
            <w:r>
              <w:rPr>
                <w:color w:val="181717"/>
                <w:sz w:val="16"/>
              </w:rPr>
              <w:t xml:space="preserve">issage d’un temps effectif de pratique de 10 à 12 h pour les élèves. </w:t>
            </w:r>
          </w:p>
          <w:p w:rsidR="00CE08DE" w:rsidRDefault="00FA6E9C">
            <w:pPr>
              <w:spacing w:after="0"/>
              <w:jc w:val="both"/>
            </w:pPr>
            <w:r>
              <w:rPr>
                <w:color w:val="181717"/>
                <w:sz w:val="16"/>
              </w:rPr>
              <w:t xml:space="preserve">Les acquisitions prioritaires sont choisies, en relation avec le projet pédagogique et les caractéristiques des élèves, dans les tableaux : </w:t>
            </w:r>
            <w:r>
              <w:rPr>
                <w:b/>
                <w:color w:val="181717"/>
                <w:sz w:val="16"/>
              </w:rPr>
              <w:t>«</w:t>
            </w:r>
            <w:r>
              <w:rPr>
                <w:color w:val="181717"/>
                <w:sz w:val="16"/>
              </w:rPr>
              <w:t xml:space="preserve"> </w:t>
            </w:r>
            <w:r>
              <w:rPr>
                <w:b/>
                <w:color w:val="181717"/>
                <w:sz w:val="16"/>
              </w:rPr>
              <w:t>Les enjeux de formation</w:t>
            </w:r>
            <w:r>
              <w:rPr>
                <w:color w:val="181717"/>
                <w:sz w:val="16"/>
              </w:rPr>
              <w:t xml:space="preserve"> </w:t>
            </w:r>
            <w:r>
              <w:rPr>
                <w:b/>
                <w:color w:val="181717"/>
                <w:sz w:val="16"/>
              </w:rPr>
              <w:t>»</w:t>
            </w:r>
            <w:r>
              <w:rPr>
                <w:color w:val="181717"/>
                <w:sz w:val="16"/>
              </w:rPr>
              <w:t xml:space="preserve">, </w:t>
            </w:r>
            <w:r>
              <w:rPr>
                <w:b/>
                <w:color w:val="181717"/>
                <w:sz w:val="16"/>
              </w:rPr>
              <w:t>« L’explicitation</w:t>
            </w:r>
            <w:r>
              <w:rPr>
                <w:b/>
                <w:color w:val="181717"/>
                <w:sz w:val="16"/>
              </w:rPr>
              <w:t xml:space="preserve"> des attendus de fin de cycle »</w:t>
            </w:r>
            <w:r>
              <w:rPr>
                <w:color w:val="181717"/>
                <w:sz w:val="16"/>
              </w:rPr>
              <w:t xml:space="preserve"> et </w:t>
            </w:r>
            <w:r>
              <w:rPr>
                <w:b/>
                <w:color w:val="181717"/>
                <w:sz w:val="16"/>
              </w:rPr>
              <w:t>« Bâtir un module d’apprentissage »</w:t>
            </w:r>
            <w:r>
              <w:rPr>
                <w:color w:val="181717"/>
                <w:sz w:val="16"/>
              </w:rPr>
              <w:t xml:space="preserve">. </w:t>
            </w:r>
          </w:p>
        </w:tc>
      </w:tr>
      <w:tr w:rsidR="00CE08DE">
        <w:trPr>
          <w:trHeight w:val="2176"/>
        </w:trPr>
        <w:tc>
          <w:tcPr>
            <w:tcW w:w="13813" w:type="dxa"/>
            <w:tcBorders>
              <w:top w:val="single" w:sz="3" w:space="0" w:color="9CB2BA"/>
              <w:left w:val="single" w:sz="3" w:space="0" w:color="3F7D8D"/>
              <w:bottom w:val="single" w:sz="3" w:space="0" w:color="9CB2BA"/>
              <w:right w:val="single" w:sz="3" w:space="0" w:color="3F7D8D"/>
            </w:tcBorders>
            <w:vAlign w:val="center"/>
          </w:tcPr>
          <w:p w:rsidR="00CE08DE" w:rsidRDefault="00FA6E9C">
            <w:pPr>
              <w:spacing w:after="26"/>
            </w:pPr>
            <w:r>
              <w:rPr>
                <w:b/>
                <w:color w:val="181717"/>
                <w:sz w:val="16"/>
              </w:rPr>
              <w:t>Repères de progressivité :</w:t>
            </w:r>
          </w:p>
          <w:p w:rsidR="00CE08DE" w:rsidRDefault="00FA6E9C">
            <w:pPr>
              <w:spacing w:after="82"/>
            </w:pPr>
            <w:r>
              <w:rPr>
                <w:color w:val="181717"/>
                <w:sz w:val="16"/>
              </w:rPr>
              <w:t>Il s’agit d’identifier, à travers des indicateurs qualitatifs ou quantitatifs, les observables de l’évolution de la compétence des élèves.</w:t>
            </w:r>
          </w:p>
          <w:p w:rsidR="00CE08DE" w:rsidRDefault="00FA6E9C">
            <w:pPr>
              <w:spacing w:after="26"/>
            </w:pPr>
            <w:r>
              <w:rPr>
                <w:color w:val="181717"/>
                <w:sz w:val="16"/>
              </w:rPr>
              <w:t xml:space="preserve">Chaque repère constitue l’acquisition envisagée et la condition de son évaluation. </w:t>
            </w:r>
          </w:p>
          <w:p w:rsidR="00CE08DE" w:rsidRDefault="00FA6E9C">
            <w:pPr>
              <w:spacing w:after="0" w:line="291" w:lineRule="auto"/>
              <w:ind w:right="6100"/>
            </w:pPr>
            <w:r>
              <w:rPr>
                <w:color w:val="181717"/>
                <w:sz w:val="16"/>
              </w:rPr>
              <w:t>Ces étapes seront validées selon les modalités retenues pour le livret scolaire unique numérique. Niveau 1 : objectifs d’apprentissage non atteints</w:t>
            </w:r>
          </w:p>
          <w:p w:rsidR="00CE08DE" w:rsidRDefault="00FA6E9C">
            <w:pPr>
              <w:spacing w:after="26"/>
            </w:pPr>
            <w:r>
              <w:rPr>
                <w:color w:val="181717"/>
                <w:sz w:val="16"/>
              </w:rPr>
              <w:t>Niveau 2 : objectifs d’a</w:t>
            </w:r>
            <w:r>
              <w:rPr>
                <w:color w:val="181717"/>
                <w:sz w:val="16"/>
              </w:rPr>
              <w:t>pprentissage partiellement atteints</w:t>
            </w:r>
          </w:p>
          <w:p w:rsidR="00CE08DE" w:rsidRDefault="00FA6E9C">
            <w:pPr>
              <w:spacing w:after="26"/>
            </w:pPr>
            <w:r>
              <w:rPr>
                <w:color w:val="181717"/>
                <w:sz w:val="16"/>
              </w:rPr>
              <w:t>Niveau 3 : objectifs d’apprentissage atteints</w:t>
            </w:r>
          </w:p>
          <w:p w:rsidR="00CE08DE" w:rsidRDefault="00FA6E9C">
            <w:pPr>
              <w:spacing w:after="0"/>
            </w:pPr>
            <w:r>
              <w:rPr>
                <w:color w:val="181717"/>
                <w:sz w:val="16"/>
              </w:rPr>
              <w:t>Niveau 4 : objectifs d’apprentissage dépassés</w:t>
            </w:r>
          </w:p>
        </w:tc>
      </w:tr>
      <w:tr w:rsidR="00CE08DE">
        <w:trPr>
          <w:trHeight w:val="3813"/>
        </w:trPr>
        <w:tc>
          <w:tcPr>
            <w:tcW w:w="13813" w:type="dxa"/>
            <w:tcBorders>
              <w:top w:val="single" w:sz="3" w:space="0" w:color="9CB2BA"/>
              <w:left w:val="single" w:sz="3" w:space="0" w:color="3F7D8D"/>
              <w:bottom w:val="single" w:sz="3" w:space="0" w:color="9CB2BA"/>
              <w:right w:val="single" w:sz="3" w:space="0" w:color="3F7D8D"/>
            </w:tcBorders>
            <w:vAlign w:val="center"/>
          </w:tcPr>
          <w:p w:rsidR="00CE08DE" w:rsidRDefault="00FA6E9C">
            <w:pPr>
              <w:spacing w:after="26"/>
            </w:pPr>
            <w:r>
              <w:rPr>
                <w:b/>
                <w:color w:val="181717"/>
                <w:sz w:val="16"/>
              </w:rPr>
              <w:t xml:space="preserve">Acquisition attendue dans l’APSA support : </w:t>
            </w:r>
          </w:p>
          <w:p w:rsidR="00CE08DE" w:rsidRDefault="00FA6E9C">
            <w:pPr>
              <w:spacing w:after="113" w:line="221" w:lineRule="auto"/>
              <w:jc w:val="both"/>
            </w:pPr>
            <w:r>
              <w:rPr>
                <w:color w:val="181717"/>
                <w:sz w:val="16"/>
              </w:rPr>
              <w:t xml:space="preserve">Il s’agit de formuler, pour le cycle d’apprentissage offert aux élèves de l’école ou du collège, un énoncé simple de ce que l’élève doit être capable de faire. Il est rédigé en prenant en compte </w:t>
            </w:r>
            <w:r>
              <w:rPr>
                <w:b/>
                <w:color w:val="181717"/>
                <w:sz w:val="16"/>
              </w:rPr>
              <w:t>les quatre attendus de fin de cycle 3, l’enjeu d’apprentissag</w:t>
            </w:r>
            <w:r>
              <w:rPr>
                <w:b/>
                <w:color w:val="181717"/>
                <w:sz w:val="16"/>
              </w:rPr>
              <w:t>e, les règles et modalités d’évaluation.</w:t>
            </w:r>
          </w:p>
          <w:p w:rsidR="00CE08DE" w:rsidRDefault="00FA6E9C">
            <w:pPr>
              <w:spacing w:after="26"/>
            </w:pPr>
            <w:r>
              <w:rPr>
                <w:b/>
                <w:color w:val="181717"/>
                <w:sz w:val="16"/>
              </w:rPr>
              <w:t>Par exemple : CA 4 :</w:t>
            </w:r>
          </w:p>
          <w:p w:rsidR="00CE08DE" w:rsidRDefault="00FA6E9C">
            <w:pPr>
              <w:spacing w:after="26"/>
            </w:pPr>
            <w:r>
              <w:rPr>
                <w:b/>
                <w:color w:val="181717"/>
                <w:sz w:val="16"/>
              </w:rPr>
              <w:t>Activités collectives et sports collectifs</w:t>
            </w:r>
          </w:p>
          <w:p w:rsidR="00CE08DE" w:rsidRDefault="00FA6E9C">
            <w:pPr>
              <w:spacing w:after="57" w:line="221" w:lineRule="auto"/>
            </w:pPr>
            <w:r>
              <w:rPr>
                <w:color w:val="181717"/>
                <w:sz w:val="16"/>
              </w:rPr>
              <w:t xml:space="preserve">« Dans un jeu aménagé à effectif réduit, rechercher le gain du match par des choix pertinents d’actions de passe ou dribble pour accéder régulièrement </w:t>
            </w:r>
            <w:r>
              <w:rPr>
                <w:color w:val="181717"/>
                <w:sz w:val="16"/>
              </w:rPr>
              <w:t>à la zone de marque et tirer en position favorable, face à une défense qui cherche à gêner la progression adverse dans le respect du non contact ».</w:t>
            </w:r>
          </w:p>
          <w:p w:rsidR="00CE08DE" w:rsidRDefault="00FA6E9C">
            <w:pPr>
              <w:spacing w:after="82"/>
            </w:pPr>
            <w:r>
              <w:rPr>
                <w:color w:val="181717"/>
                <w:sz w:val="16"/>
              </w:rPr>
              <w:t>S’inscrire dans le cadre d’un projet de jeu simple lié à la progression de la balle. Respecter les partenair</w:t>
            </w:r>
            <w:r>
              <w:rPr>
                <w:color w:val="181717"/>
                <w:sz w:val="16"/>
              </w:rPr>
              <w:t>es, les adversaires et les décisions de l’arbitre.</w:t>
            </w:r>
          </w:p>
          <w:p w:rsidR="00CE08DE" w:rsidRDefault="00FA6E9C">
            <w:pPr>
              <w:spacing w:after="26"/>
            </w:pPr>
            <w:r>
              <w:rPr>
                <w:b/>
                <w:color w:val="181717"/>
                <w:sz w:val="16"/>
              </w:rPr>
              <w:t>Activités et sports de raquette</w:t>
            </w:r>
          </w:p>
          <w:p w:rsidR="00CE08DE" w:rsidRDefault="00FA6E9C">
            <w:pPr>
              <w:spacing w:after="57" w:line="221" w:lineRule="auto"/>
            </w:pPr>
            <w:r>
              <w:rPr>
                <w:color w:val="181717"/>
                <w:sz w:val="16"/>
              </w:rPr>
              <w:t>« En simple, rechercher le gain loyal d’une rencontre en assurant la continuité de l’échange, en coup droit ou en revers et en profitant d’une situation favorable pour le ro</w:t>
            </w:r>
            <w:r>
              <w:rPr>
                <w:color w:val="181717"/>
                <w:sz w:val="16"/>
              </w:rPr>
              <w:t>mpre par une balle placée latéralement ou accélérée.</w:t>
            </w:r>
          </w:p>
          <w:p w:rsidR="00CE08DE" w:rsidRDefault="00FA6E9C">
            <w:pPr>
              <w:spacing w:after="82"/>
            </w:pPr>
            <w:r>
              <w:rPr>
                <w:color w:val="181717"/>
                <w:sz w:val="16"/>
              </w:rPr>
              <w:t>Assurer le comptage des points et remplir une feuille d’observation ».</w:t>
            </w:r>
          </w:p>
          <w:p w:rsidR="00CE08DE" w:rsidRDefault="00FA6E9C">
            <w:pPr>
              <w:spacing w:after="26"/>
            </w:pPr>
            <w:r>
              <w:rPr>
                <w:b/>
                <w:color w:val="181717"/>
                <w:sz w:val="16"/>
              </w:rPr>
              <w:t xml:space="preserve">Activités et sports de combat </w:t>
            </w:r>
          </w:p>
          <w:p w:rsidR="00CE08DE" w:rsidRDefault="00FA6E9C">
            <w:pPr>
              <w:spacing w:after="0"/>
              <w:ind w:right="572"/>
            </w:pPr>
            <w:r>
              <w:rPr>
                <w:color w:val="181717"/>
                <w:sz w:val="16"/>
              </w:rPr>
              <w:t>« S’engager loyalement et en toute sécurité dans un combat, en rechercher le gain par l’utilisation d</w:t>
            </w:r>
            <w:r>
              <w:rPr>
                <w:color w:val="181717"/>
                <w:sz w:val="16"/>
              </w:rPr>
              <w:t>e contrôles et formes de corps sur un adversaire gardant ses appuis au sol. Assurer le comptage des points et le respect des règles de sécurité ».</w:t>
            </w:r>
          </w:p>
        </w:tc>
      </w:tr>
    </w:tbl>
    <w:p w:rsidR="00CE08DE" w:rsidRDefault="00CE08DE">
      <w:pPr>
        <w:spacing w:after="0"/>
        <w:ind w:left="-628" w:right="15905"/>
      </w:pPr>
    </w:p>
    <w:tbl>
      <w:tblPr>
        <w:tblStyle w:val="TableGrid"/>
        <w:tblW w:w="13813" w:type="dxa"/>
        <w:tblInd w:w="1701" w:type="dxa"/>
        <w:tblCellMar>
          <w:top w:w="0" w:type="dxa"/>
          <w:left w:w="170" w:type="dxa"/>
          <w:bottom w:w="0" w:type="dxa"/>
          <w:right w:w="115" w:type="dxa"/>
        </w:tblCellMar>
        <w:tblLook w:val="04A0" w:firstRow="1" w:lastRow="0" w:firstColumn="1" w:lastColumn="0" w:noHBand="0" w:noVBand="1"/>
      </w:tblPr>
      <w:tblGrid>
        <w:gridCol w:w="13813"/>
      </w:tblGrid>
      <w:tr w:rsidR="00CE08DE">
        <w:trPr>
          <w:trHeight w:val="879"/>
        </w:trPr>
        <w:tc>
          <w:tcPr>
            <w:tcW w:w="13813" w:type="dxa"/>
            <w:tcBorders>
              <w:top w:val="single" w:sz="3" w:space="0" w:color="9CB2BA"/>
              <w:left w:val="single" w:sz="3" w:space="0" w:color="3F7D8D"/>
              <w:bottom w:val="single" w:sz="3" w:space="0" w:color="9CB2BA"/>
              <w:right w:val="single" w:sz="3" w:space="0" w:color="3F7D8D"/>
            </w:tcBorders>
            <w:vAlign w:val="center"/>
          </w:tcPr>
          <w:p w:rsidR="00CE08DE" w:rsidRDefault="00FA6E9C">
            <w:pPr>
              <w:spacing w:after="26"/>
            </w:pPr>
            <w:r>
              <w:rPr>
                <w:b/>
                <w:color w:val="181717"/>
                <w:sz w:val="16"/>
              </w:rPr>
              <w:t>Règles constitutives des modalités et critères d’évaluation pour le CA 3 (à spécifier dans l’APSA support choisie) :</w:t>
            </w:r>
          </w:p>
          <w:p w:rsidR="00CE08DE" w:rsidRDefault="00FA6E9C">
            <w:pPr>
              <w:spacing w:after="0"/>
            </w:pPr>
            <w:r>
              <w:rPr>
                <w:color w:val="181717"/>
                <w:sz w:val="16"/>
              </w:rPr>
              <w:t>« Il s’agit de préciser les conditions dans lesquelles on souhaite voir émerger la compétence attendue. Ces conditions recouvrent à la fois</w:t>
            </w:r>
            <w:r>
              <w:rPr>
                <w:color w:val="181717"/>
                <w:sz w:val="16"/>
              </w:rPr>
              <w:t xml:space="preserve"> l’organisation matérielle, les consignes apportées aux élèves, le but de la situation, les actions mobilisées, les adaptations ou aménagements acceptées … ».</w:t>
            </w:r>
          </w:p>
        </w:tc>
      </w:tr>
      <w:tr w:rsidR="00CE08DE">
        <w:trPr>
          <w:trHeight w:val="2176"/>
        </w:trPr>
        <w:tc>
          <w:tcPr>
            <w:tcW w:w="13813" w:type="dxa"/>
            <w:tcBorders>
              <w:top w:val="single" w:sz="3" w:space="0" w:color="9CB2BA"/>
              <w:left w:val="single" w:sz="3" w:space="0" w:color="3F7D8D"/>
              <w:bottom w:val="single" w:sz="3" w:space="0" w:color="3F7D8D"/>
              <w:right w:val="single" w:sz="3" w:space="0" w:color="3F7D8D"/>
            </w:tcBorders>
            <w:vAlign w:val="center"/>
          </w:tcPr>
          <w:p w:rsidR="00CE08DE" w:rsidRDefault="00FA6E9C">
            <w:pPr>
              <w:spacing w:after="26"/>
            </w:pPr>
            <w:r>
              <w:rPr>
                <w:b/>
                <w:color w:val="181717"/>
                <w:sz w:val="16"/>
              </w:rPr>
              <w:lastRenderedPageBreak/>
              <w:t xml:space="preserve">Notions interdisciplinaires : </w:t>
            </w:r>
          </w:p>
          <w:p w:rsidR="00CE08DE" w:rsidRDefault="00FA6E9C">
            <w:pPr>
              <w:spacing w:after="82"/>
            </w:pPr>
            <w:r>
              <w:rPr>
                <w:color w:val="181717"/>
                <w:sz w:val="16"/>
              </w:rPr>
              <w:t>Représentation dans l’espace et données géométriques (lignes, tra</w:t>
            </w:r>
            <w:r>
              <w:rPr>
                <w:color w:val="181717"/>
                <w:sz w:val="16"/>
              </w:rPr>
              <w:t>nslation, rotation, vitesse.</w:t>
            </w:r>
          </w:p>
          <w:p w:rsidR="00CE08DE" w:rsidRDefault="00FA6E9C">
            <w:pPr>
              <w:spacing w:after="82"/>
            </w:pPr>
            <w:r>
              <w:rPr>
                <w:color w:val="181717"/>
                <w:sz w:val="16"/>
              </w:rPr>
              <w:t>Maitrise de la langue : s’exprimer avec un vocabulaire adapté : ce que je vois, ce que je fais, ce que je projette. Mettre des mots sur le faire ; et faire à partir de mots (réalisation du projet).</w:t>
            </w:r>
          </w:p>
          <w:p w:rsidR="00CE08DE" w:rsidRDefault="00FA6E9C">
            <w:pPr>
              <w:spacing w:after="26"/>
            </w:pPr>
            <w:r>
              <w:rPr>
                <w:b/>
                <w:color w:val="181717"/>
                <w:sz w:val="16"/>
              </w:rPr>
              <w:t>Programmes :</w:t>
            </w:r>
          </w:p>
          <w:p w:rsidR="00CE08DE" w:rsidRDefault="00FA6E9C">
            <w:pPr>
              <w:spacing w:after="26"/>
            </w:pPr>
            <w:r>
              <w:rPr>
                <w:color w:val="181717"/>
                <w:sz w:val="16"/>
              </w:rPr>
              <w:t>Sciences : « Décrire les états et la constitution de la matière à l’échelle macroscopique », « Observer et décrire différents types de mouvements ».</w:t>
            </w:r>
          </w:p>
          <w:p w:rsidR="00CE08DE" w:rsidRDefault="00FA6E9C">
            <w:pPr>
              <w:spacing w:after="57" w:line="221" w:lineRule="auto"/>
              <w:ind w:right="34"/>
            </w:pPr>
            <w:r>
              <w:rPr>
                <w:color w:val="181717"/>
                <w:sz w:val="16"/>
              </w:rPr>
              <w:t>Mathématiques : « (Se) repérer et (se) déplacer dans l’espace en utilisant ou en élaborant des représentati</w:t>
            </w:r>
            <w:r>
              <w:rPr>
                <w:color w:val="181717"/>
                <w:sz w:val="16"/>
              </w:rPr>
              <w:t>ons » ; « Reconnaitre, nommer, décrire, reproduire, représenter, construire quelques solides et figures géométriques ».</w:t>
            </w:r>
          </w:p>
          <w:p w:rsidR="00CE08DE" w:rsidRDefault="00FA6E9C">
            <w:pPr>
              <w:spacing w:after="0"/>
            </w:pPr>
            <w:r>
              <w:rPr>
                <w:color w:val="181717"/>
                <w:sz w:val="16"/>
              </w:rPr>
              <w:t>Liens avec le langage scientifique : nombres, surnombres …</w:t>
            </w:r>
          </w:p>
        </w:tc>
      </w:tr>
    </w:tbl>
    <w:p w:rsidR="00FA6E9C" w:rsidRDefault="00FA6E9C"/>
    <w:sectPr w:rsidR="00FA6E9C">
      <w:headerReference w:type="even" r:id="rId15"/>
      <w:headerReference w:type="default" r:id="rId16"/>
      <w:footerReference w:type="even" r:id="rId17"/>
      <w:footerReference w:type="default" r:id="rId18"/>
      <w:headerReference w:type="first" r:id="rId19"/>
      <w:footerReference w:type="first" r:id="rId20"/>
      <w:pgSz w:w="16838" w:h="11906" w:orient="landscape"/>
      <w:pgMar w:top="684" w:right="933" w:bottom="854"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9C" w:rsidRDefault="00FA6E9C">
      <w:pPr>
        <w:spacing w:after="0" w:line="240" w:lineRule="auto"/>
      </w:pPr>
      <w:r>
        <w:separator/>
      </w:r>
    </w:p>
  </w:endnote>
  <w:endnote w:type="continuationSeparator" w:id="0">
    <w:p w:rsidR="00FA6E9C" w:rsidRDefault="00FA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CE08DE">
      <w:trPr>
        <w:trHeight w:val="342"/>
      </w:trPr>
      <w:tc>
        <w:tcPr>
          <w:tcW w:w="15534" w:type="dxa"/>
          <w:tcBorders>
            <w:top w:val="nil"/>
            <w:left w:val="nil"/>
            <w:bottom w:val="nil"/>
            <w:right w:val="nil"/>
          </w:tcBorders>
          <w:shd w:val="clear" w:color="auto" w:fill="EBE3EE"/>
        </w:tcPr>
        <w:p w:rsidR="00CE08DE" w:rsidRDefault="00FA6E9C">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CE08DE" w:rsidRDefault="00CE08DE">
    <w:pPr>
      <w:spacing w:after="0"/>
      <w:ind w:left="-628" w:right="159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CE08DE">
      <w:trPr>
        <w:trHeight w:val="342"/>
      </w:trPr>
      <w:tc>
        <w:tcPr>
          <w:tcW w:w="15534" w:type="dxa"/>
          <w:tcBorders>
            <w:top w:val="nil"/>
            <w:left w:val="nil"/>
            <w:bottom w:val="nil"/>
            <w:right w:val="nil"/>
          </w:tcBorders>
          <w:shd w:val="clear" w:color="auto" w:fill="EBE3EE"/>
        </w:tcPr>
        <w:p w:rsidR="00CE08DE" w:rsidRDefault="00FA6E9C">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224962" w:rsidRPr="00224962">
            <w:rPr>
              <w:b/>
              <w:noProof/>
              <w:color w:val="583F82"/>
              <w:sz w:val="20"/>
            </w:rPr>
            <w:t>3</w:t>
          </w:r>
          <w:r>
            <w:rPr>
              <w:b/>
              <w:color w:val="583F82"/>
              <w:sz w:val="20"/>
            </w:rPr>
            <w:fldChar w:fldCharType="end"/>
          </w:r>
        </w:p>
      </w:tc>
    </w:tr>
  </w:tbl>
  <w:p w:rsidR="00CE08DE" w:rsidRDefault="00CE08DE">
    <w:pPr>
      <w:spacing w:after="0"/>
      <w:ind w:left="-628" w:right="159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CE08DE">
      <w:trPr>
        <w:trHeight w:val="342"/>
      </w:trPr>
      <w:tc>
        <w:tcPr>
          <w:tcW w:w="15534" w:type="dxa"/>
          <w:tcBorders>
            <w:top w:val="nil"/>
            <w:left w:val="nil"/>
            <w:bottom w:val="nil"/>
            <w:right w:val="nil"/>
          </w:tcBorders>
          <w:shd w:val="clear" w:color="auto" w:fill="EBE3EE"/>
        </w:tcPr>
        <w:p w:rsidR="00CE08DE" w:rsidRDefault="00FA6E9C">
          <w:pPr>
            <w:tabs>
              <w:tab w:val="center" w:pos="14891"/>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w:t>
          </w:r>
          <w:r>
            <w:rPr>
              <w:color w:val="181717"/>
              <w:sz w:val="14"/>
            </w:rPr>
            <w:t>16</w:t>
          </w:r>
          <w:r>
            <w:rPr>
              <w:color w:val="181717"/>
              <w:sz w:val="14"/>
            </w:rPr>
            <w:tab/>
          </w:r>
          <w:r>
            <w:fldChar w:fldCharType="begin"/>
          </w:r>
          <w:r>
            <w:instrText xml:space="preserve"> PAGE   \* MERGEFORMAT </w:instrText>
          </w:r>
          <w:r>
            <w:fldChar w:fldCharType="separate"/>
          </w:r>
          <w:r w:rsidR="00224962" w:rsidRPr="00224962">
            <w:rPr>
              <w:b/>
              <w:noProof/>
              <w:color w:val="583F82"/>
              <w:sz w:val="20"/>
            </w:rPr>
            <w:t>1</w:t>
          </w:r>
          <w:r>
            <w:rPr>
              <w:b/>
              <w:color w:val="583F82"/>
              <w:sz w:val="20"/>
            </w:rPr>
            <w:fldChar w:fldCharType="end"/>
          </w:r>
        </w:p>
      </w:tc>
    </w:tr>
  </w:tbl>
  <w:p w:rsidR="00CE08DE" w:rsidRDefault="00CE08DE">
    <w:pPr>
      <w:spacing w:after="0"/>
      <w:ind w:left="-628" w:right="159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9C" w:rsidRDefault="00FA6E9C">
      <w:pPr>
        <w:spacing w:after="0" w:line="240" w:lineRule="auto"/>
      </w:pPr>
      <w:r>
        <w:separator/>
      </w:r>
    </w:p>
  </w:footnote>
  <w:footnote w:type="continuationSeparator" w:id="0">
    <w:p w:rsidR="00FA6E9C" w:rsidRDefault="00FA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CE08DE">
      <w:trPr>
        <w:trHeight w:val="354"/>
      </w:trPr>
      <w:tc>
        <w:tcPr>
          <w:tcW w:w="15462" w:type="dxa"/>
          <w:tcBorders>
            <w:top w:val="nil"/>
            <w:left w:val="nil"/>
            <w:bottom w:val="nil"/>
            <w:right w:val="nil"/>
          </w:tcBorders>
          <w:shd w:val="clear" w:color="auto" w:fill="4DB091"/>
        </w:tcPr>
        <w:p w:rsidR="00CE08DE" w:rsidRDefault="00FA6E9C">
          <w:pPr>
            <w:tabs>
              <w:tab w:val="center" w:pos="520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4021" name="Group 4021"/>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4022" name="Shape 4022"/>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4021" style="width:12.188pt;height:12.189pt;position:absolute;z-index:-2147483639;mso-position-horizontal-relative:text;mso-position-horizontal:absolute;margin-left:32.4952pt;mso-position-vertical-relative:text;margin-top:-1.65362pt;" coordsize="1547,1548">
                    <v:shape id="Shape 4022"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CE08DE">
      <w:trPr>
        <w:trHeight w:val="295"/>
      </w:trPr>
      <w:tc>
        <w:tcPr>
          <w:tcW w:w="15462" w:type="dxa"/>
          <w:tcBorders>
            <w:top w:val="nil"/>
            <w:left w:val="single" w:sz="8" w:space="0" w:color="4DB091"/>
            <w:bottom w:val="single" w:sz="8" w:space="0" w:color="4DB091"/>
            <w:right w:val="single" w:sz="8" w:space="0" w:color="4DB091"/>
          </w:tcBorders>
        </w:tcPr>
        <w:p w:rsidR="00CE08DE" w:rsidRDefault="00FA6E9C">
          <w:pPr>
            <w:spacing w:after="0"/>
          </w:pPr>
          <w:r>
            <w:rPr>
              <w:b/>
              <w:color w:val="4DB091"/>
              <w:sz w:val="16"/>
            </w:rPr>
            <w:t>Champ d’apprentissage « Conduire et maitriser un affrontement collectif ou interindividuel »</w:t>
          </w:r>
        </w:p>
      </w:tc>
    </w:tr>
  </w:tbl>
  <w:p w:rsidR="00CE08DE" w:rsidRDefault="00CE08DE">
    <w:pPr>
      <w:spacing w:after="0"/>
      <w:ind w:left="-628" w:right="143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CE08DE">
      <w:trPr>
        <w:trHeight w:val="354"/>
      </w:trPr>
      <w:tc>
        <w:tcPr>
          <w:tcW w:w="15462" w:type="dxa"/>
          <w:tcBorders>
            <w:top w:val="nil"/>
            <w:left w:val="nil"/>
            <w:bottom w:val="nil"/>
            <w:right w:val="nil"/>
          </w:tcBorders>
          <w:shd w:val="clear" w:color="auto" w:fill="4DB091"/>
        </w:tcPr>
        <w:p w:rsidR="00CE08DE" w:rsidRDefault="00FA6E9C">
          <w:pPr>
            <w:tabs>
              <w:tab w:val="center" w:pos="5204"/>
            </w:tabs>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3976" name="Group 3976"/>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3977" name="Shape 3977"/>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3976" style="width:12.188pt;height:12.189pt;position:absolute;z-index:-2147483639;mso-position-horizontal-relative:text;mso-position-horizontal:absolute;margin-left:32.4952pt;mso-position-vertical-relative:text;margin-top:-1.65362pt;" coordsize="1547,1548">
                    <v:shape id="Shape 3977"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rPr>
              <w:b/>
              <w:color w:val="FFFEFD"/>
              <w:sz w:val="16"/>
            </w:rPr>
            <w:t xml:space="preserve">CYCLE          I  ÉDUCATION PHYSIQUE ET SPORTIVE  I </w:t>
          </w:r>
          <w:r>
            <w:rPr>
              <w:b/>
              <w:color w:val="4DB091"/>
              <w:sz w:val="23"/>
            </w:rPr>
            <w:t>3</w:t>
          </w:r>
          <w:r>
            <w:rPr>
              <w:b/>
              <w:color w:val="4DB091"/>
              <w:sz w:val="23"/>
            </w:rPr>
            <w:tab/>
          </w:r>
          <w:r>
            <w:rPr>
              <w:b/>
              <w:color w:val="FFFEFD"/>
              <w:sz w:val="16"/>
            </w:rPr>
            <w:t>les r</w:t>
          </w:r>
          <w:r>
            <w:rPr>
              <w:b/>
              <w:color w:val="FFFEFD"/>
              <w:sz w:val="16"/>
            </w:rPr>
            <w:t>essources pour construire l’enseignement</w:t>
          </w:r>
        </w:p>
      </w:tc>
    </w:tr>
    <w:tr w:rsidR="00CE08DE">
      <w:trPr>
        <w:trHeight w:val="295"/>
      </w:trPr>
      <w:tc>
        <w:tcPr>
          <w:tcW w:w="15462" w:type="dxa"/>
          <w:tcBorders>
            <w:top w:val="nil"/>
            <w:left w:val="single" w:sz="8" w:space="0" w:color="4DB091"/>
            <w:bottom w:val="single" w:sz="8" w:space="0" w:color="4DB091"/>
            <w:right w:val="single" w:sz="8" w:space="0" w:color="4DB091"/>
          </w:tcBorders>
        </w:tcPr>
        <w:p w:rsidR="00CE08DE" w:rsidRDefault="00FA6E9C">
          <w:pPr>
            <w:spacing w:after="0"/>
          </w:pPr>
          <w:r>
            <w:rPr>
              <w:b/>
              <w:color w:val="4DB091"/>
              <w:sz w:val="16"/>
            </w:rPr>
            <w:t>Champ d’apprentissage « Conduire et maitriser un affrontement collectif ou interindividuel »</w:t>
          </w:r>
        </w:p>
      </w:tc>
    </w:tr>
  </w:tbl>
  <w:p w:rsidR="00CE08DE" w:rsidRDefault="00CE08DE">
    <w:pPr>
      <w:spacing w:after="0"/>
      <w:ind w:left="-628" w:right="1432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DE" w:rsidRDefault="00CE08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6AD2"/>
    <w:multiLevelType w:val="hybridMultilevel"/>
    <w:tmpl w:val="7BB43FF6"/>
    <w:lvl w:ilvl="0" w:tplc="2644830E">
      <w:start w:val="1"/>
      <w:numFmt w:val="bullet"/>
      <w:lvlText w:val="•"/>
      <w:lvlJc w:val="left"/>
      <w:pPr>
        <w:ind w:left="1854"/>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1" w:tplc="267E0082">
      <w:start w:val="1"/>
      <w:numFmt w:val="bullet"/>
      <w:lvlText w:val="o"/>
      <w:lvlJc w:val="left"/>
      <w:pPr>
        <w:ind w:left="277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2" w:tplc="E8A8F404">
      <w:start w:val="1"/>
      <w:numFmt w:val="bullet"/>
      <w:lvlText w:val="▪"/>
      <w:lvlJc w:val="left"/>
      <w:pPr>
        <w:ind w:left="349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3" w:tplc="EE40AAD4">
      <w:start w:val="1"/>
      <w:numFmt w:val="bullet"/>
      <w:lvlText w:val="•"/>
      <w:lvlJc w:val="left"/>
      <w:pPr>
        <w:ind w:left="421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4" w:tplc="1F3A6B3C">
      <w:start w:val="1"/>
      <w:numFmt w:val="bullet"/>
      <w:lvlText w:val="o"/>
      <w:lvlJc w:val="left"/>
      <w:pPr>
        <w:ind w:left="493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5" w:tplc="541C0D68">
      <w:start w:val="1"/>
      <w:numFmt w:val="bullet"/>
      <w:lvlText w:val="▪"/>
      <w:lvlJc w:val="left"/>
      <w:pPr>
        <w:ind w:left="565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6" w:tplc="AA0E5A7C">
      <w:start w:val="1"/>
      <w:numFmt w:val="bullet"/>
      <w:lvlText w:val="•"/>
      <w:lvlJc w:val="left"/>
      <w:pPr>
        <w:ind w:left="637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7" w:tplc="C45A6162">
      <w:start w:val="1"/>
      <w:numFmt w:val="bullet"/>
      <w:lvlText w:val="o"/>
      <w:lvlJc w:val="left"/>
      <w:pPr>
        <w:ind w:left="709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8" w:tplc="79B0BFDC">
      <w:start w:val="1"/>
      <w:numFmt w:val="bullet"/>
      <w:lvlText w:val="▪"/>
      <w:lvlJc w:val="left"/>
      <w:pPr>
        <w:ind w:left="7819"/>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abstractNum>
  <w:abstractNum w:abstractNumId="1" w15:restartNumberingAfterBreak="0">
    <w:nsid w:val="6CAC404F"/>
    <w:multiLevelType w:val="hybridMultilevel"/>
    <w:tmpl w:val="B0F411B4"/>
    <w:lvl w:ilvl="0" w:tplc="ACF60F22">
      <w:start w:val="1"/>
      <w:numFmt w:val="bullet"/>
      <w:lvlText w:val="•"/>
      <w:lvlJc w:val="left"/>
      <w:pPr>
        <w:ind w:left="1854"/>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1" w:tplc="FA286470">
      <w:start w:val="1"/>
      <w:numFmt w:val="bullet"/>
      <w:lvlText w:val="o"/>
      <w:lvlJc w:val="left"/>
      <w:pPr>
        <w:ind w:left="108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2" w:tplc="8AAEDAF4">
      <w:start w:val="1"/>
      <w:numFmt w:val="bullet"/>
      <w:lvlText w:val="▪"/>
      <w:lvlJc w:val="left"/>
      <w:pPr>
        <w:ind w:left="180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3" w:tplc="5ED8DE76">
      <w:start w:val="1"/>
      <w:numFmt w:val="bullet"/>
      <w:lvlText w:val="•"/>
      <w:lvlJc w:val="left"/>
      <w:pPr>
        <w:ind w:left="252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4" w:tplc="FFCCB8DC">
      <w:start w:val="1"/>
      <w:numFmt w:val="bullet"/>
      <w:lvlText w:val="o"/>
      <w:lvlJc w:val="left"/>
      <w:pPr>
        <w:ind w:left="324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5" w:tplc="62A00C66">
      <w:start w:val="1"/>
      <w:numFmt w:val="bullet"/>
      <w:lvlText w:val="▪"/>
      <w:lvlJc w:val="left"/>
      <w:pPr>
        <w:ind w:left="396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6" w:tplc="F9F86436">
      <w:start w:val="1"/>
      <w:numFmt w:val="bullet"/>
      <w:lvlText w:val="•"/>
      <w:lvlJc w:val="left"/>
      <w:pPr>
        <w:ind w:left="468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7" w:tplc="06FE7F10">
      <w:start w:val="1"/>
      <w:numFmt w:val="bullet"/>
      <w:lvlText w:val="o"/>
      <w:lvlJc w:val="left"/>
      <w:pPr>
        <w:ind w:left="540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8" w:tplc="22440158">
      <w:start w:val="1"/>
      <w:numFmt w:val="bullet"/>
      <w:lvlText w:val="▪"/>
      <w:lvlJc w:val="left"/>
      <w:pPr>
        <w:ind w:left="612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abstractNum>
  <w:abstractNum w:abstractNumId="2" w15:restartNumberingAfterBreak="0">
    <w:nsid w:val="71F8173B"/>
    <w:multiLevelType w:val="hybridMultilevel"/>
    <w:tmpl w:val="D3E81834"/>
    <w:lvl w:ilvl="0" w:tplc="FCF6EFB6">
      <w:start w:val="1"/>
      <w:numFmt w:val="bullet"/>
      <w:lvlText w:val="•"/>
      <w:lvlJc w:val="left"/>
      <w:pPr>
        <w:ind w:left="1854"/>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1" w:tplc="BA8039DA">
      <w:start w:val="1"/>
      <w:numFmt w:val="bullet"/>
      <w:lvlText w:val="o"/>
      <w:lvlJc w:val="left"/>
      <w:pPr>
        <w:ind w:left="108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2" w:tplc="A824E3E6">
      <w:start w:val="1"/>
      <w:numFmt w:val="bullet"/>
      <w:lvlText w:val="▪"/>
      <w:lvlJc w:val="left"/>
      <w:pPr>
        <w:ind w:left="180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3" w:tplc="A00EDDC8">
      <w:start w:val="1"/>
      <w:numFmt w:val="bullet"/>
      <w:lvlText w:val="•"/>
      <w:lvlJc w:val="left"/>
      <w:pPr>
        <w:ind w:left="252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4" w:tplc="E3748258">
      <w:start w:val="1"/>
      <w:numFmt w:val="bullet"/>
      <w:lvlText w:val="o"/>
      <w:lvlJc w:val="left"/>
      <w:pPr>
        <w:ind w:left="324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5" w:tplc="04160B22">
      <w:start w:val="1"/>
      <w:numFmt w:val="bullet"/>
      <w:lvlText w:val="▪"/>
      <w:lvlJc w:val="left"/>
      <w:pPr>
        <w:ind w:left="396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6" w:tplc="6FC8C3BE">
      <w:start w:val="1"/>
      <w:numFmt w:val="bullet"/>
      <w:lvlText w:val="•"/>
      <w:lvlJc w:val="left"/>
      <w:pPr>
        <w:ind w:left="468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7" w:tplc="F4F62AD0">
      <w:start w:val="1"/>
      <w:numFmt w:val="bullet"/>
      <w:lvlText w:val="o"/>
      <w:lvlJc w:val="left"/>
      <w:pPr>
        <w:ind w:left="540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lvl w:ilvl="8" w:tplc="EC5AC5B8">
      <w:start w:val="1"/>
      <w:numFmt w:val="bullet"/>
      <w:lvlText w:val="▪"/>
      <w:lvlJc w:val="left"/>
      <w:pPr>
        <w:ind w:left="6120"/>
      </w:pPr>
      <w:rPr>
        <w:rFonts w:ascii="Calibri" w:eastAsia="Calibri" w:hAnsi="Calibri" w:cs="Calibri"/>
        <w:b w:val="0"/>
        <w:i w:val="0"/>
        <w:strike w:val="0"/>
        <w:dstrike w:val="0"/>
        <w:color w:val="3F7D8D"/>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DE"/>
    <w:rsid w:val="00224962"/>
    <w:rsid w:val="00CE08DE"/>
    <w:rsid w:val="00FA6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E08CF-D1E9-4F5E-A2A1-C597AC56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67"/>
      <w:ind w:left="226"/>
      <w:outlineLvl w:val="0"/>
    </w:pPr>
    <w:rPr>
      <w:rFonts w:ascii="Calibri" w:eastAsia="Calibri" w:hAnsi="Calibri" w:cs="Calibri"/>
      <w:b/>
      <w:color w:val="583F82"/>
      <w:sz w:val="24"/>
    </w:rPr>
  </w:style>
  <w:style w:type="paragraph" w:styleId="Titre2">
    <w:name w:val="heading 2"/>
    <w:next w:val="Normal"/>
    <w:link w:val="Titre2Car"/>
    <w:uiPriority w:val="9"/>
    <w:unhideWhenUsed/>
    <w:qFormat/>
    <w:pPr>
      <w:keepNext/>
      <w:keepLines/>
      <w:spacing w:after="5"/>
      <w:ind w:left="1709" w:hanging="10"/>
      <w:outlineLvl w:val="1"/>
    </w:pPr>
    <w:rPr>
      <w:rFonts w:ascii="Calibri" w:eastAsia="Calibri" w:hAnsi="Calibri" w:cs="Calibri"/>
      <w:b/>
      <w:color w:val="3F7D8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3F7D8D"/>
      <w:sz w:val="24"/>
    </w:rPr>
  </w:style>
  <w:style w:type="character" w:customStyle="1" w:styleId="Titre1Car">
    <w:name w:val="Titre 1 Car"/>
    <w:link w:val="Titre1"/>
    <w:rPr>
      <w:rFonts w:ascii="Calibri" w:eastAsia="Calibri" w:hAnsi="Calibri" w:cs="Calibri"/>
      <w:b/>
      <w:color w:val="583F82"/>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6923</Characters>
  <Application>Microsoft Office Word</Application>
  <DocSecurity>0</DocSecurity>
  <Lines>57</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2016-11-06T21:13:00Z</dcterms:created>
  <dcterms:modified xsi:type="dcterms:W3CDTF">2016-11-06T21:13:00Z</dcterms:modified>
</cp:coreProperties>
</file>