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bookmarkStart w:id="0" w:name="_GoBack"/>
      <w:bookmarkEnd w:id="0"/>
      <w:r>
        <w:rPr>
          <w:u w:val="single"/>
        </w:rPr>
        <w:t>Plus-value apportée</w:t>
      </w:r>
      <w:r>
        <w:t> : Statistiques immédiates sur les zones où sont marqués les points et les zones  défendues grâce au tableau Excel (Badminton Lacroix).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Gain de temps dans le calcul</w:t>
      </w:r>
      <w:r>
        <w:t xml:space="preserve"> du score, dans la visualisation d'une stratégie simple liée à la construction du point et dans la visualisation de la défense de sa cible.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Mots clés</w:t>
      </w:r>
      <w:r>
        <w:t> : rupture, zones libres, défendre.</w:t>
      </w:r>
    </w:p>
    <w:p w:rsidR="00F90E13" w:rsidRDefault="005B4FAC">
      <w:pPr>
        <w:pStyle w:val="Standard"/>
      </w:pPr>
      <w:r>
        <w:rPr>
          <w:u w:val="single"/>
        </w:rPr>
        <w:t>Thème leçon 2 </w:t>
      </w:r>
      <w:r>
        <w:t>: construire le point en visant des zones libres et dange</w:t>
      </w:r>
      <w:r>
        <w:t>reuses. Défendre efficacement sa cible.</w:t>
      </w:r>
    </w:p>
    <w:p w:rsidR="00F90E13" w:rsidRDefault="005B4FAC">
      <w:pPr>
        <w:pStyle w:val="Standard"/>
      </w:pPr>
      <w:r>
        <w:rPr>
          <w:u w:val="single"/>
        </w:rPr>
        <w:t>Objectif </w:t>
      </w:r>
      <w:r>
        <w:t>: jouer loin de l'adversaire, défendre sa cible en se replaçant après chaque frappe.</w:t>
      </w:r>
    </w:p>
    <w:p w:rsidR="00F90E13" w:rsidRDefault="005B4FAC">
      <w:pPr>
        <w:pStyle w:val="Standard"/>
      </w:pPr>
      <w:r>
        <w:rPr>
          <w:b/>
          <w:u w:val="single"/>
        </w:rPr>
        <w:t>CP 4 et APSA support</w:t>
      </w:r>
      <w:r>
        <w:rPr>
          <w:b/>
        </w:rPr>
        <w:t> : Badminton</w:t>
      </w:r>
    </w:p>
    <w:p w:rsidR="00F90E13" w:rsidRDefault="005B4FAC">
      <w:pPr>
        <w:pStyle w:val="Standard"/>
      </w:pPr>
      <w:r>
        <w:rPr>
          <w:u w:val="single"/>
        </w:rPr>
        <w:t>Acquisitions attendues</w:t>
      </w:r>
      <w:r>
        <w:t xml:space="preserve"> : « Passer d’un jeu de renvoi simple à une recherche intentionnell</w:t>
      </w:r>
      <w:r>
        <w:t>e de rupture en plaçant le volant loin de l’adversaire pour le mettre en crise de temps  ».</w:t>
      </w:r>
    </w:p>
    <w:p w:rsidR="00F90E13" w:rsidRDefault="005B4FAC">
      <w:pPr>
        <w:pStyle w:val="Standard"/>
      </w:pPr>
      <w:r>
        <w:t>« Passer d'une position d'attente après la frappe à une recherche de replacement au centre de son demi-terrain après la frappe ».</w:t>
      </w:r>
    </w:p>
    <w:p w:rsidR="00F90E13" w:rsidRDefault="00F90E13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u w:val="single"/>
        </w:rPr>
      </w:pP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Compétence attendue</w:t>
      </w:r>
      <w:r>
        <w:t xml:space="preserve"> : </w:t>
      </w:r>
      <w:r>
        <w:rPr>
          <w:b/>
        </w:rPr>
        <w:t>niveau 2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CM</w:t>
      </w:r>
      <w:r>
        <w:rPr>
          <w:u w:val="single"/>
        </w:rPr>
        <w:t>S visée(s)</w:t>
      </w:r>
      <w:r>
        <w:t> : Se mettre au service d’un camarade pour lui permettre de progresser. Transmettre des informations fiables à son joueur pour lui permettre de prendre l’avantage. Analyser les résultats pour identifier ses points forts et faibles.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Connaissances</w:t>
      </w:r>
      <w:r>
        <w:t> </w:t>
      </w:r>
      <w:r>
        <w:t>: Les zones dites « dangereuses ». Le replacement. L’utilisation des logiciels et de l’outil informatique.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Capacités </w:t>
      </w:r>
      <w:r>
        <w:t>: Repérer la position de l’adversaire pour jouer loin de celui-ci. Défendre sa cible.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lastRenderedPageBreak/>
        <w:t>Attitudes </w:t>
      </w:r>
      <w:r>
        <w:t>: Oser prendre des risques pour progresser.</w:t>
      </w:r>
      <w:r>
        <w:t xml:space="preserve"> Etre dans une logique de rupture. Etre dans une logique d'opposition.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Liens socle commun</w:t>
      </w:r>
      <w:r>
        <w:t> : Exploiter les données fournies pour analyser l’efficacité d’un camarade et adapter son projet tactique (C3). Utiliser l’outil informatique (C4). S’investir avec rig</w:t>
      </w:r>
      <w:r>
        <w:t>ueur dans le rôle de coach (C6). Prendre l’initiative en mettant en place des stratégies de jeu (C7).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But de la situation</w:t>
      </w:r>
      <w:r>
        <w:t xml:space="preserve"> : Marquer le point en jouant loin de l’adversaire et défendre sa cible en se déplaçant et en se replaçant efficacement.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Consignes de r</w:t>
      </w:r>
      <w:r>
        <w:rPr>
          <w:u w:val="single"/>
        </w:rPr>
        <w:t>éalisation</w:t>
      </w:r>
      <w:r>
        <w:t> : Regarder avant de frapper pour voir où se trouve l’adversaire (orientation de sa ligne d’appuis et de sa raquette).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+ : varier la vitesse du volant en valorisant les volants non touchés par l'adversaire.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- : jouer simplement hors de la zone ce</w:t>
      </w:r>
      <w:r>
        <w:t>ntrale matérialisée au sol.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Se replacer rapidement dans la zone centrale matérialisée au sol après chaque frappe.</w:t>
      </w:r>
    </w:p>
    <w:p w:rsidR="00F90E13" w:rsidRDefault="005B4FAC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Critères de réussite</w:t>
      </w:r>
      <w:r>
        <w:t> : envoyer 70% des volants hors de la zone centrale. Réduire le nombre de volants non touchés.</w:t>
      </w:r>
    </w:p>
    <w:p w:rsidR="00F90E13" w:rsidRDefault="005B4FAC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Moyen numérique :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 xml:space="preserve">Matériel </w:t>
      </w:r>
      <w:r>
        <w:rPr>
          <w:u w:val="single"/>
        </w:rPr>
        <w:t>utilisé</w:t>
      </w:r>
      <w:r>
        <w:t xml:space="preserve"> : 1 netbooks, 1 </w:t>
      </w:r>
      <w:proofErr w:type="gramStart"/>
      <w:r>
        <w:t>tablettes</w:t>
      </w:r>
      <w:proofErr w:type="gramEnd"/>
      <w:r>
        <w:t>, vidéoprojecteur.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 w:rsidRPr="00A014D1">
        <w:rPr>
          <w:u w:val="single"/>
        </w:rPr>
        <w:t>Logiciel(s) / application(s)</w:t>
      </w:r>
      <w:r w:rsidRPr="00A014D1">
        <w:t> : Tableur « Badminton Lacroix ».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Aménagement matériel</w:t>
      </w:r>
      <w:r>
        <w:t> :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Tablette  avec fichier tableur  « Badminton Lacroix » sur un terrain. Un Netbook </w:t>
      </w:r>
      <w:proofErr w:type="gramStart"/>
      <w:r>
        <w:t>relié</w:t>
      </w:r>
      <w:proofErr w:type="gramEnd"/>
      <w:r>
        <w:t xml:space="preserve"> au vidéoprojecteur pour expliqu</w:t>
      </w:r>
      <w:r>
        <w:t>er le fonctionnement du tableur.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proofErr w:type="gramStart"/>
      <w:r>
        <w:rPr>
          <w:u w:val="single"/>
        </w:rPr>
        <w:t>Consignes</w:t>
      </w:r>
      <w:proofErr w:type="gramEnd"/>
      <w:r>
        <w:t> :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L’arbitre comptabilise les points avec Match &amp; score en distinguant les points bonus : volant non touché par l’adversaire. A la fin du match, les joueurs ont un retour sur leur réussite.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Un observateur (qui </w:t>
      </w:r>
      <w:r>
        <w:t>peut être un inapte) marque le point d’impact du volant. On obtient ainsi son profil de jeu.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A la fin du match, il sauvegarde le fichier en lui donnant le nom de l’élève.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Pour le match suivant on repart d’un fichier vierge.</w:t>
      </w:r>
    </w:p>
    <w:p w:rsidR="00F90E13" w:rsidRDefault="00F90E1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u w:val="single"/>
        </w:rPr>
        <w:t>Points de vigilance</w:t>
      </w:r>
      <w:r>
        <w:t> :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t>Il serait</w:t>
      </w:r>
      <w:r>
        <w:t xml:space="preserve"> intéressant de pouvoir imprimer le profil de jeu dans l’instant.</w:t>
      </w:r>
    </w:p>
    <w:p w:rsidR="00F90E13" w:rsidRDefault="005B4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t>Pour les 3 terrains forts, l’exploitation des profils de jeu ne peut se faire qu’à la leçon suivante puisqu’ils n’ont pas été imprimés en tant réels.</w:t>
      </w:r>
    </w:p>
    <w:p w:rsidR="00F90E13" w:rsidRDefault="00F90E1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F90E13" w:rsidRDefault="005B4FAC">
      <w:pPr>
        <w:pStyle w:val="Standard"/>
      </w:pPr>
      <w:r>
        <w:t xml:space="preserve">   </w:t>
      </w:r>
      <w:r>
        <w:rPr>
          <w:u w:val="single"/>
        </w:rPr>
        <w:t>Commentaires</w:t>
      </w:r>
      <w:r>
        <w:t> :</w:t>
      </w:r>
    </w:p>
    <w:p w:rsidR="00F90E13" w:rsidRDefault="00F90E13">
      <w:pPr>
        <w:pStyle w:val="Standard"/>
      </w:pPr>
    </w:p>
    <w:p w:rsidR="00F90E13" w:rsidRDefault="005B4FAC">
      <w:pPr>
        <w:pStyle w:val="Pieddepage"/>
      </w:pPr>
      <w:r>
        <w:t>Bilan et perspectiv</w:t>
      </w:r>
      <w:r>
        <w:t>es : ……………………………………………………………………</w:t>
      </w:r>
    </w:p>
    <w:sectPr w:rsidR="00F90E13">
      <w:headerReference w:type="default" r:id="rId6"/>
      <w:footerReference w:type="default" r:id="rId7"/>
      <w:pgSz w:w="16838" w:h="11906" w:orient="landscape"/>
      <w:pgMar w:top="765" w:right="720" w:bottom="765" w:left="720" w:header="708" w:footer="708" w:gutter="0"/>
      <w:cols w:num="2" w:space="720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AC" w:rsidRDefault="005B4FAC">
      <w:pPr>
        <w:spacing w:after="0" w:line="240" w:lineRule="auto"/>
      </w:pPr>
      <w:r>
        <w:separator/>
      </w:r>
    </w:p>
  </w:endnote>
  <w:endnote w:type="continuationSeparator" w:id="0">
    <w:p w:rsidR="005B4FAC" w:rsidRDefault="005B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2C" w:rsidRDefault="005B4FAC">
    <w:pPr>
      <w:pStyle w:val="Pieddepage"/>
    </w:pPr>
    <w:r>
      <w:t>SA Numérique Saverne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AC" w:rsidRDefault="005B4F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4FAC" w:rsidRDefault="005B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2C" w:rsidRDefault="005B4FAC">
    <w:pPr>
      <w:pStyle w:val="Standard"/>
      <w:jc w:val="center"/>
    </w:pPr>
    <w:r>
      <w:t>SITUATION D’APPRENTISSAGE PAR LE NUMERIQUE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0E13"/>
    <w:rsid w:val="005B4FAC"/>
    <w:rsid w:val="00A014D1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634E-1736-4635-9AD4-D88B294C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</dc:creator>
  <cp:lastModifiedBy>marcel lemire</cp:lastModifiedBy>
  <cp:revision>2</cp:revision>
  <cp:lastPrinted>2015-03-08T20:06:00Z</cp:lastPrinted>
  <dcterms:created xsi:type="dcterms:W3CDTF">2015-04-15T19:21:00Z</dcterms:created>
  <dcterms:modified xsi:type="dcterms:W3CDTF">2015-04-15T19:21:00Z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